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91770" w14:textId="77777777" w:rsidR="00EC0A63" w:rsidRPr="00414982" w:rsidRDefault="00EC0A63">
      <w:pPr>
        <w:rPr>
          <w:rFonts w:asciiTheme="majorHAnsi" w:hAnsiTheme="majorHAnsi" w:cs="Arial"/>
          <w:szCs w:val="24"/>
        </w:rPr>
      </w:pPr>
    </w:p>
    <w:p w14:paraId="4844E420" w14:textId="77777777" w:rsidR="00EC0A63" w:rsidRPr="00414982" w:rsidRDefault="00EC0A63">
      <w:pPr>
        <w:rPr>
          <w:rFonts w:asciiTheme="majorHAnsi" w:hAnsiTheme="majorHAnsi" w:cs="Arial"/>
          <w:szCs w:val="24"/>
        </w:rPr>
      </w:pPr>
    </w:p>
    <w:p w14:paraId="15F0818F" w14:textId="77777777" w:rsidR="00EC0A63" w:rsidRPr="00414982" w:rsidRDefault="00EC0A63">
      <w:pPr>
        <w:rPr>
          <w:rFonts w:asciiTheme="majorHAnsi" w:hAnsiTheme="majorHAnsi" w:cs="Arial"/>
          <w:szCs w:val="24"/>
        </w:rPr>
      </w:pPr>
    </w:p>
    <w:p w14:paraId="55D14147" w14:textId="3A816F2D" w:rsidR="00164C12" w:rsidRPr="00414982" w:rsidRDefault="00164C12" w:rsidP="00164C12">
      <w:pPr>
        <w:rPr>
          <w:rFonts w:asciiTheme="majorHAnsi" w:hAnsiTheme="majorHAnsi" w:cs="Arial"/>
          <w:szCs w:val="24"/>
          <w:lang w:val="es-PR"/>
        </w:rPr>
      </w:pPr>
      <w:r w:rsidRPr="00414982">
        <w:rPr>
          <w:rFonts w:asciiTheme="majorHAnsi" w:hAnsiTheme="majorHAnsi" w:cs="Arial"/>
          <w:szCs w:val="24"/>
          <w:lang w:val="es-PR"/>
        </w:rPr>
        <w:t>13 de octubre de 2016</w:t>
      </w:r>
    </w:p>
    <w:p w14:paraId="57C2263F" w14:textId="77777777" w:rsidR="00164C12" w:rsidRPr="00414982" w:rsidRDefault="00164C12" w:rsidP="00164C12">
      <w:pPr>
        <w:jc w:val="both"/>
        <w:rPr>
          <w:rFonts w:asciiTheme="majorHAnsi" w:hAnsiTheme="majorHAnsi" w:cs="Arial"/>
          <w:szCs w:val="24"/>
          <w:lang w:val="es-PR"/>
        </w:rPr>
      </w:pPr>
    </w:p>
    <w:p w14:paraId="2E577C53" w14:textId="77777777" w:rsidR="00E624F3" w:rsidRPr="00414982" w:rsidRDefault="00E624F3" w:rsidP="00164C12">
      <w:pPr>
        <w:jc w:val="both"/>
        <w:rPr>
          <w:rFonts w:asciiTheme="majorHAnsi" w:hAnsiTheme="majorHAnsi" w:cs="Arial"/>
          <w:szCs w:val="24"/>
          <w:lang w:val="es-PR"/>
        </w:rPr>
      </w:pPr>
    </w:p>
    <w:p w14:paraId="6D493805" w14:textId="77777777" w:rsidR="00E624F3" w:rsidRPr="00414982" w:rsidRDefault="00E624F3" w:rsidP="00164C12">
      <w:pPr>
        <w:jc w:val="both"/>
        <w:rPr>
          <w:rFonts w:asciiTheme="majorHAnsi" w:hAnsiTheme="majorHAnsi" w:cs="Arial"/>
          <w:szCs w:val="24"/>
          <w:lang w:val="es-PR"/>
        </w:rPr>
      </w:pPr>
    </w:p>
    <w:p w14:paraId="38FE7708" w14:textId="77777777" w:rsidR="00E624F3" w:rsidRPr="00414982" w:rsidRDefault="00E624F3" w:rsidP="00E624F3">
      <w:pPr>
        <w:rPr>
          <w:rFonts w:asciiTheme="majorHAnsi" w:hAnsiTheme="majorHAnsi"/>
          <w:szCs w:val="24"/>
          <w:lang w:val="es-PR"/>
        </w:rPr>
      </w:pPr>
      <w:r w:rsidRPr="00414982">
        <w:rPr>
          <w:rFonts w:asciiTheme="majorHAnsi" w:hAnsiTheme="majorHAnsi"/>
          <w:szCs w:val="24"/>
          <w:lang w:val="es-PR"/>
        </w:rPr>
        <w:t>Transición 2016</w:t>
      </w:r>
      <w:bookmarkStart w:id="0" w:name="_GoBack"/>
      <w:bookmarkEnd w:id="0"/>
    </w:p>
    <w:p w14:paraId="15293CA9" w14:textId="77777777" w:rsidR="00E624F3" w:rsidRPr="00414982" w:rsidRDefault="00E624F3" w:rsidP="00E624F3">
      <w:pPr>
        <w:rPr>
          <w:rFonts w:asciiTheme="majorHAnsi" w:hAnsiTheme="majorHAnsi"/>
          <w:szCs w:val="24"/>
          <w:lang w:val="es-PR"/>
        </w:rPr>
      </w:pPr>
      <w:r w:rsidRPr="00414982">
        <w:rPr>
          <w:rFonts w:asciiTheme="majorHAnsi" w:hAnsiTheme="majorHAnsi"/>
          <w:szCs w:val="24"/>
          <w:lang w:val="es-PR"/>
        </w:rPr>
        <w:t xml:space="preserve">Departamento de Estado </w:t>
      </w:r>
    </w:p>
    <w:p w14:paraId="6A08CF32" w14:textId="77777777" w:rsidR="00E624F3" w:rsidRPr="00414982" w:rsidRDefault="00E624F3" w:rsidP="00E624F3">
      <w:pPr>
        <w:rPr>
          <w:rFonts w:asciiTheme="majorHAnsi" w:hAnsiTheme="majorHAnsi"/>
          <w:szCs w:val="24"/>
          <w:lang w:val="es-PR"/>
        </w:rPr>
      </w:pPr>
      <w:r w:rsidRPr="00414982">
        <w:rPr>
          <w:rFonts w:asciiTheme="majorHAnsi" w:hAnsiTheme="majorHAnsi"/>
          <w:szCs w:val="24"/>
          <w:lang w:val="es-PR"/>
        </w:rPr>
        <w:t>Teléfonos: 787-729-6310, 787-729-6311, 787-729-6312</w:t>
      </w:r>
    </w:p>
    <w:p w14:paraId="6F01AD05" w14:textId="77777777" w:rsidR="00E624F3" w:rsidRDefault="00BB04FF" w:rsidP="00E624F3">
      <w:pPr>
        <w:rPr>
          <w:rStyle w:val="Hyperlink"/>
          <w:rFonts w:asciiTheme="majorHAnsi" w:hAnsiTheme="majorHAnsi"/>
          <w:szCs w:val="24"/>
          <w:lang w:val="es-PR"/>
        </w:rPr>
      </w:pPr>
      <w:hyperlink r:id="rId7" w:history="1">
        <w:r w:rsidR="00E624F3" w:rsidRPr="00414982">
          <w:rPr>
            <w:rStyle w:val="Hyperlink"/>
            <w:rFonts w:asciiTheme="majorHAnsi" w:hAnsiTheme="majorHAnsi"/>
            <w:szCs w:val="24"/>
            <w:lang w:val="es-PR"/>
          </w:rPr>
          <w:t>transicion2016@estado.pr.gov</w:t>
        </w:r>
      </w:hyperlink>
    </w:p>
    <w:p w14:paraId="0CB31EA4" w14:textId="77777777" w:rsidR="00D95842" w:rsidRDefault="00D95842" w:rsidP="00E624F3">
      <w:pPr>
        <w:rPr>
          <w:rStyle w:val="Hyperlink"/>
          <w:rFonts w:asciiTheme="majorHAnsi" w:hAnsiTheme="majorHAnsi"/>
          <w:szCs w:val="24"/>
          <w:lang w:val="es-PR"/>
        </w:rPr>
      </w:pPr>
    </w:p>
    <w:p w14:paraId="304745F3" w14:textId="77777777" w:rsidR="00D95842" w:rsidRDefault="00D95842" w:rsidP="00D95842">
      <w:pPr>
        <w:jc w:val="both"/>
        <w:rPr>
          <w:rFonts w:asciiTheme="majorHAnsi" w:eastAsia="Trebuchet MS" w:hAnsiTheme="majorHAnsi" w:cs="Arial"/>
          <w:szCs w:val="24"/>
          <w:lang w:val="es-ES_tradnl"/>
        </w:rPr>
      </w:pPr>
      <w:r>
        <w:rPr>
          <w:rFonts w:asciiTheme="majorHAnsi" w:eastAsia="Trebuchet MS" w:hAnsiTheme="majorHAnsi" w:cs="Arial"/>
          <w:szCs w:val="24"/>
          <w:lang w:val="es-ES_tradnl"/>
        </w:rPr>
        <w:t xml:space="preserve">Víctor A. Suárez Meléndez </w:t>
      </w:r>
    </w:p>
    <w:p w14:paraId="39534B27" w14:textId="77777777" w:rsidR="00D95842" w:rsidRDefault="00D95842" w:rsidP="00D95842">
      <w:pPr>
        <w:jc w:val="both"/>
        <w:rPr>
          <w:rFonts w:asciiTheme="majorHAnsi" w:eastAsia="Trebuchet MS" w:hAnsiTheme="majorHAnsi" w:cs="Arial"/>
          <w:szCs w:val="24"/>
          <w:lang w:val="es-ES_tradnl"/>
        </w:rPr>
      </w:pPr>
      <w:r>
        <w:rPr>
          <w:rFonts w:asciiTheme="majorHAnsi" w:eastAsia="Trebuchet MS" w:hAnsiTheme="majorHAnsi" w:cs="Arial"/>
          <w:szCs w:val="24"/>
          <w:lang w:val="es-ES_tradnl"/>
        </w:rPr>
        <w:t>Director Ejecutivo</w:t>
      </w:r>
    </w:p>
    <w:p w14:paraId="4EAB2FAD" w14:textId="77777777" w:rsidR="00D95842" w:rsidRPr="00414982" w:rsidRDefault="00D95842" w:rsidP="00E624F3">
      <w:pPr>
        <w:rPr>
          <w:rFonts w:asciiTheme="majorHAnsi" w:hAnsiTheme="majorHAnsi"/>
          <w:szCs w:val="24"/>
          <w:lang w:val="es-PR"/>
        </w:rPr>
      </w:pPr>
    </w:p>
    <w:p w14:paraId="062756F9" w14:textId="61152FEC" w:rsidR="00164C12" w:rsidRPr="00414982" w:rsidRDefault="00164C12" w:rsidP="00164C12">
      <w:pPr>
        <w:jc w:val="both"/>
        <w:rPr>
          <w:rFonts w:asciiTheme="majorHAnsi" w:hAnsiTheme="majorHAnsi" w:cs="Arial"/>
          <w:b/>
          <w:bCs/>
          <w:szCs w:val="24"/>
          <w:lang w:val="es-PR"/>
        </w:rPr>
      </w:pPr>
      <w:r w:rsidRPr="00414982">
        <w:rPr>
          <w:rFonts w:asciiTheme="majorHAnsi" w:hAnsiTheme="majorHAnsi" w:cs="Arial"/>
          <w:b/>
          <w:bCs/>
          <w:szCs w:val="24"/>
          <w:lang w:val="es-PR"/>
        </w:rPr>
        <w:t>Memorando de Transición</w:t>
      </w:r>
    </w:p>
    <w:p w14:paraId="2E405378" w14:textId="77777777" w:rsidR="00164C12" w:rsidRPr="00414982" w:rsidRDefault="00164C12" w:rsidP="00164C12">
      <w:pPr>
        <w:jc w:val="both"/>
        <w:rPr>
          <w:rFonts w:asciiTheme="majorHAnsi" w:hAnsiTheme="majorHAnsi" w:cs="Arial"/>
          <w:b/>
          <w:bCs/>
          <w:szCs w:val="24"/>
          <w:lang w:val="es-PR"/>
        </w:rPr>
      </w:pPr>
    </w:p>
    <w:p w14:paraId="2FC56069" w14:textId="74A6FB7C" w:rsidR="00B31A04" w:rsidRPr="00414982" w:rsidRDefault="00850A2D" w:rsidP="008D5571">
      <w:pPr>
        <w:pStyle w:val="Body1"/>
        <w:spacing w:after="0" w:line="240" w:lineRule="auto"/>
        <w:jc w:val="both"/>
        <w:rPr>
          <w:rFonts w:asciiTheme="majorHAnsi" w:hAnsiTheme="majorHAnsi" w:cs="Arial"/>
          <w:sz w:val="24"/>
          <w:szCs w:val="24"/>
          <w:lang w:val="es-ES_tradnl"/>
        </w:rPr>
      </w:pPr>
      <w:r w:rsidRPr="00414982">
        <w:rPr>
          <w:rFonts w:asciiTheme="majorHAnsi" w:hAnsiTheme="majorHAnsi" w:cs="Arial"/>
          <w:sz w:val="24"/>
          <w:szCs w:val="24"/>
          <w:lang w:val="es-ES_tradnl"/>
        </w:rPr>
        <w:t>L</w:t>
      </w:r>
      <w:r w:rsidR="00164C12" w:rsidRPr="00414982">
        <w:rPr>
          <w:rFonts w:asciiTheme="majorHAnsi" w:hAnsiTheme="majorHAnsi" w:cs="Arial"/>
          <w:sz w:val="24"/>
          <w:szCs w:val="24"/>
          <w:lang w:val="es-ES_tradnl"/>
        </w:rPr>
        <w:t>a Autoridad de Asesoría Financiera y Agencia Fiscal de Puerto Rico (“AAFAF” o la “Au</w:t>
      </w:r>
      <w:r w:rsidRPr="00414982">
        <w:rPr>
          <w:rFonts w:asciiTheme="majorHAnsi" w:hAnsiTheme="majorHAnsi" w:cs="Arial"/>
          <w:sz w:val="24"/>
          <w:szCs w:val="24"/>
          <w:lang w:val="es-ES_tradnl"/>
        </w:rPr>
        <w:t>toridad”) presenta</w:t>
      </w:r>
      <w:r w:rsidR="00164C12" w:rsidRPr="00414982">
        <w:rPr>
          <w:rFonts w:asciiTheme="majorHAnsi" w:hAnsiTheme="majorHAnsi" w:cs="Arial"/>
          <w:sz w:val="24"/>
          <w:szCs w:val="24"/>
          <w:lang w:val="es-ES_tradnl"/>
        </w:rPr>
        <w:t xml:space="preserve"> su Memorando de Transición</w:t>
      </w:r>
      <w:r w:rsidR="007A7ADD" w:rsidRPr="00414982">
        <w:rPr>
          <w:rFonts w:asciiTheme="majorHAnsi" w:hAnsiTheme="majorHAnsi" w:cs="Arial"/>
          <w:sz w:val="24"/>
          <w:szCs w:val="24"/>
          <w:lang w:val="es-ES_tradnl"/>
        </w:rPr>
        <w:t xml:space="preserve"> para el cuatr</w:t>
      </w:r>
      <w:r w:rsidR="00F22484" w:rsidRPr="00414982">
        <w:rPr>
          <w:rFonts w:asciiTheme="majorHAnsi" w:hAnsiTheme="majorHAnsi" w:cs="Arial"/>
          <w:sz w:val="24"/>
          <w:szCs w:val="24"/>
          <w:lang w:val="es-ES_tradnl"/>
        </w:rPr>
        <w:t>i</w:t>
      </w:r>
      <w:r w:rsidR="007A7ADD" w:rsidRPr="00414982">
        <w:rPr>
          <w:rFonts w:asciiTheme="majorHAnsi" w:hAnsiTheme="majorHAnsi" w:cs="Arial"/>
          <w:sz w:val="24"/>
          <w:szCs w:val="24"/>
          <w:lang w:val="es-ES_tradnl"/>
        </w:rPr>
        <w:t>enio</w:t>
      </w:r>
      <w:r w:rsidRPr="00414982">
        <w:rPr>
          <w:rFonts w:asciiTheme="majorHAnsi" w:hAnsiTheme="majorHAnsi" w:cs="Arial"/>
          <w:sz w:val="24"/>
          <w:szCs w:val="24"/>
          <w:lang w:val="es-ES_tradnl"/>
        </w:rPr>
        <w:t xml:space="preserve"> 2013-2017</w:t>
      </w:r>
      <w:r w:rsidR="007A7ADD" w:rsidRPr="00414982">
        <w:rPr>
          <w:rFonts w:asciiTheme="majorHAnsi" w:hAnsiTheme="majorHAnsi" w:cs="Arial"/>
          <w:sz w:val="24"/>
          <w:szCs w:val="24"/>
          <w:lang w:val="es-ES_tradnl"/>
        </w:rPr>
        <w:t xml:space="preserve">, conforme a la Ley Núm. 197-2002, conocida como la Ley del Proceso de Transición del Gobierno, 1 LPRA 458 </w:t>
      </w:r>
      <w:r w:rsidR="007A7ADD" w:rsidRPr="00414982">
        <w:rPr>
          <w:rFonts w:asciiTheme="majorHAnsi" w:hAnsiTheme="majorHAnsi" w:cs="Arial"/>
          <w:i/>
          <w:sz w:val="24"/>
          <w:szCs w:val="24"/>
          <w:lang w:val="es-ES_tradnl"/>
        </w:rPr>
        <w:t xml:space="preserve">et </w:t>
      </w:r>
      <w:proofErr w:type="spellStart"/>
      <w:r w:rsidR="007A7ADD" w:rsidRPr="00414982">
        <w:rPr>
          <w:rFonts w:asciiTheme="majorHAnsi" w:hAnsiTheme="majorHAnsi" w:cs="Arial"/>
          <w:i/>
          <w:sz w:val="24"/>
          <w:szCs w:val="24"/>
          <w:lang w:val="es-ES_tradnl"/>
        </w:rPr>
        <w:t>seq</w:t>
      </w:r>
      <w:proofErr w:type="spellEnd"/>
      <w:r w:rsidR="00991D48" w:rsidRPr="00414982">
        <w:rPr>
          <w:rFonts w:asciiTheme="majorHAnsi" w:hAnsiTheme="majorHAnsi" w:cs="Arial"/>
          <w:sz w:val="24"/>
          <w:szCs w:val="24"/>
          <w:lang w:val="es-ES_tradnl"/>
        </w:rPr>
        <w:t>., según enmendada.</w:t>
      </w:r>
      <w:r w:rsidR="00B31A04" w:rsidRPr="00414982">
        <w:rPr>
          <w:rFonts w:asciiTheme="majorHAnsi" w:hAnsiTheme="majorHAnsi" w:cs="Arial"/>
          <w:sz w:val="24"/>
          <w:szCs w:val="24"/>
          <w:lang w:val="es-ES_tradnl"/>
        </w:rPr>
        <w:t xml:space="preserve"> Detalles adicionales de los objetivos, funciones y trabajos realizados por la AAFAF se encuentran en los informes de transición colocados </w:t>
      </w:r>
      <w:r w:rsidR="00E624F3" w:rsidRPr="00414982">
        <w:rPr>
          <w:rFonts w:asciiTheme="majorHAnsi" w:hAnsiTheme="majorHAnsi" w:cs="Arial"/>
          <w:sz w:val="24"/>
          <w:szCs w:val="24"/>
          <w:lang w:val="es-ES_tradnl"/>
        </w:rPr>
        <w:t xml:space="preserve">en el sitio web </w:t>
      </w:r>
      <w:hyperlink r:id="rId8" w:history="1">
        <w:r w:rsidR="00E624F3" w:rsidRPr="00414982">
          <w:rPr>
            <w:rStyle w:val="Hyperlink"/>
            <w:rFonts w:asciiTheme="majorHAnsi" w:hAnsiTheme="majorHAnsi" w:cs="Arial"/>
            <w:sz w:val="24"/>
            <w:szCs w:val="24"/>
            <w:lang w:val="es-ES_tradnl"/>
          </w:rPr>
          <w:t>http://www2.edicion.transicion2016.pr.gov</w:t>
        </w:r>
      </w:hyperlink>
      <w:r w:rsidR="00E624F3" w:rsidRPr="00414982">
        <w:rPr>
          <w:rFonts w:asciiTheme="majorHAnsi" w:hAnsiTheme="majorHAnsi" w:cs="Arial"/>
          <w:sz w:val="24"/>
          <w:szCs w:val="24"/>
          <w:lang w:val="es-ES_tradnl"/>
        </w:rPr>
        <w:t xml:space="preserve"> </w:t>
      </w:r>
      <w:r w:rsidR="00B31A04" w:rsidRPr="00414982">
        <w:rPr>
          <w:rFonts w:asciiTheme="majorHAnsi" w:hAnsiTheme="majorHAnsi" w:cs="Arial"/>
          <w:sz w:val="24"/>
          <w:szCs w:val="24"/>
          <w:lang w:val="es-ES_tradnl"/>
        </w:rPr>
        <w:t>.</w:t>
      </w:r>
    </w:p>
    <w:p w14:paraId="0CFF80FC" w14:textId="77777777" w:rsidR="00B31A04" w:rsidRPr="00414982" w:rsidRDefault="00B31A04" w:rsidP="008D5571">
      <w:pPr>
        <w:pStyle w:val="Body1"/>
        <w:spacing w:after="0" w:line="240" w:lineRule="auto"/>
        <w:jc w:val="both"/>
        <w:rPr>
          <w:rFonts w:asciiTheme="majorHAnsi" w:hAnsiTheme="majorHAnsi" w:cs="Arial"/>
          <w:sz w:val="24"/>
          <w:szCs w:val="24"/>
          <w:lang w:val="es-ES_tradnl"/>
        </w:rPr>
      </w:pPr>
    </w:p>
    <w:p w14:paraId="4103FC58" w14:textId="42398A7E" w:rsidR="00B31A04" w:rsidRPr="00414982" w:rsidRDefault="00B31A04" w:rsidP="008D5571">
      <w:pPr>
        <w:pStyle w:val="Body1"/>
        <w:numPr>
          <w:ilvl w:val="0"/>
          <w:numId w:val="2"/>
        </w:numPr>
        <w:spacing w:after="0" w:line="240" w:lineRule="auto"/>
        <w:jc w:val="both"/>
        <w:rPr>
          <w:rFonts w:asciiTheme="majorHAnsi" w:hAnsiTheme="majorHAnsi" w:cs="Arial"/>
          <w:b/>
          <w:sz w:val="24"/>
          <w:szCs w:val="24"/>
          <w:lang w:val="es-ES_tradnl"/>
        </w:rPr>
      </w:pPr>
      <w:r w:rsidRPr="00414982">
        <w:rPr>
          <w:rFonts w:asciiTheme="majorHAnsi" w:hAnsiTheme="majorHAnsi" w:cs="Arial"/>
          <w:b/>
          <w:sz w:val="24"/>
          <w:szCs w:val="24"/>
          <w:lang w:val="es-ES_tradnl"/>
        </w:rPr>
        <w:t>Base Legal y Trasfondo</w:t>
      </w:r>
    </w:p>
    <w:p w14:paraId="1EBFE178" w14:textId="77777777" w:rsidR="00B31A04" w:rsidRPr="00414982" w:rsidRDefault="00B31A04" w:rsidP="008D5571">
      <w:pPr>
        <w:pStyle w:val="Body1"/>
        <w:spacing w:after="0" w:line="240" w:lineRule="auto"/>
        <w:jc w:val="both"/>
        <w:rPr>
          <w:rFonts w:asciiTheme="majorHAnsi" w:hAnsiTheme="majorHAnsi" w:cs="Arial"/>
          <w:sz w:val="24"/>
          <w:szCs w:val="24"/>
          <w:lang w:val="es-ES_tradnl"/>
        </w:rPr>
      </w:pPr>
    </w:p>
    <w:p w14:paraId="5488EA61" w14:textId="5DA40584" w:rsidR="00673F8F" w:rsidRPr="00414982" w:rsidRDefault="00B31A04" w:rsidP="008D5571">
      <w:pPr>
        <w:pStyle w:val="Body1"/>
        <w:spacing w:after="0" w:line="240" w:lineRule="auto"/>
        <w:jc w:val="both"/>
        <w:rPr>
          <w:rFonts w:asciiTheme="majorHAnsi" w:hAnsiTheme="majorHAnsi" w:cs="Arial"/>
          <w:sz w:val="24"/>
          <w:szCs w:val="24"/>
          <w:shd w:val="clear" w:color="auto" w:fill="FFFFFF"/>
        </w:rPr>
      </w:pPr>
      <w:r w:rsidRPr="00414982">
        <w:rPr>
          <w:rFonts w:asciiTheme="majorHAnsi" w:hAnsiTheme="majorHAnsi" w:cs="Arial"/>
          <w:sz w:val="24"/>
          <w:szCs w:val="24"/>
          <w:lang w:val="es-ES_tradnl"/>
        </w:rPr>
        <w:t>La Autoridad fue creada mediante la Ley Núm. 21 de 6 de abril de 2016, según enmendada, conocida como la “Ley de Moratoria de Emergencia y Rehabilitación Financiera de Puerto Rico”</w:t>
      </w:r>
      <w:r w:rsidR="00776BD3" w:rsidRPr="00414982">
        <w:rPr>
          <w:rFonts w:asciiTheme="majorHAnsi" w:hAnsiTheme="majorHAnsi" w:cs="Arial"/>
          <w:sz w:val="24"/>
          <w:szCs w:val="24"/>
          <w:lang w:val="es-ES_tradnl"/>
        </w:rPr>
        <w:t xml:space="preserve"> (en adelante “Ley 21-2016”)</w:t>
      </w:r>
      <w:r w:rsidRPr="00414982">
        <w:rPr>
          <w:rFonts w:asciiTheme="majorHAnsi" w:hAnsiTheme="majorHAnsi" w:cs="Arial"/>
          <w:sz w:val="24"/>
          <w:szCs w:val="24"/>
          <w:lang w:val="es-ES_tradnl"/>
        </w:rPr>
        <w:t>.</w:t>
      </w:r>
      <w:r w:rsidR="00776BD3" w:rsidRPr="00414982">
        <w:rPr>
          <w:rFonts w:asciiTheme="majorHAnsi" w:hAnsiTheme="majorHAnsi" w:cs="Arial"/>
          <w:sz w:val="24"/>
          <w:szCs w:val="24"/>
          <w:lang w:val="es-ES_tradnl"/>
        </w:rPr>
        <w:t xml:space="preserve">  Mediante la Ley 21-2016, la AAFAF se creó con el propósito “</w:t>
      </w:r>
      <w:r w:rsidR="00776BD3" w:rsidRPr="00414982">
        <w:rPr>
          <w:rFonts w:asciiTheme="majorHAnsi" w:hAnsiTheme="majorHAnsi" w:cs="Arial"/>
          <w:sz w:val="24"/>
          <w:szCs w:val="24"/>
          <w:shd w:val="clear" w:color="auto" w:fill="FFFFFF"/>
        </w:rPr>
        <w:t xml:space="preserve">de que actúe como agente fiscal, asesor financiero y agente informativo del Estado Libre Asociado </w:t>
      </w:r>
      <w:r w:rsidR="007D0BF3" w:rsidRPr="00414982">
        <w:rPr>
          <w:rFonts w:asciiTheme="majorHAnsi" w:hAnsiTheme="majorHAnsi" w:cs="Arial"/>
          <w:sz w:val="24"/>
          <w:szCs w:val="24"/>
          <w:shd w:val="clear" w:color="auto" w:fill="FFFFFF"/>
        </w:rPr>
        <w:t xml:space="preserve">(“ELA”) </w:t>
      </w:r>
      <w:r w:rsidR="00776BD3" w:rsidRPr="00414982">
        <w:rPr>
          <w:rFonts w:asciiTheme="majorHAnsi" w:hAnsiTheme="majorHAnsi" w:cs="Arial"/>
          <w:sz w:val="24"/>
          <w:szCs w:val="24"/>
          <w:shd w:val="clear" w:color="auto" w:fill="FFFFFF"/>
        </w:rPr>
        <w:t xml:space="preserve">y sus corporaciones públicas, </w:t>
      </w:r>
      <w:proofErr w:type="spellStart"/>
      <w:r w:rsidR="00776BD3" w:rsidRPr="00414982">
        <w:rPr>
          <w:rFonts w:asciiTheme="majorHAnsi" w:hAnsiTheme="majorHAnsi" w:cs="Arial"/>
          <w:sz w:val="24"/>
          <w:szCs w:val="24"/>
          <w:shd w:val="clear" w:color="auto" w:fill="FFFFFF"/>
        </w:rPr>
        <w:t>instrumentalidades</w:t>
      </w:r>
      <w:proofErr w:type="spellEnd"/>
      <w:r w:rsidR="00776BD3" w:rsidRPr="00414982">
        <w:rPr>
          <w:rFonts w:asciiTheme="majorHAnsi" w:hAnsiTheme="majorHAnsi" w:cs="Arial"/>
          <w:sz w:val="24"/>
          <w:szCs w:val="24"/>
          <w:shd w:val="clear" w:color="auto" w:fill="FFFFFF"/>
        </w:rPr>
        <w:t xml:space="preserve">, comisiones, autoridades municipales y subdivisiones políticas y para asistir tales entidades en confrontar la grave crisis fiscal y emergencia económica por la que atraviesa Puerto Rico”.  Art. 602 </w:t>
      </w:r>
      <w:r w:rsidR="00687C6B" w:rsidRPr="00414982">
        <w:rPr>
          <w:rFonts w:asciiTheme="majorHAnsi" w:hAnsiTheme="majorHAnsi" w:cs="Arial"/>
          <w:sz w:val="24"/>
          <w:szCs w:val="24"/>
          <w:shd w:val="clear" w:color="auto" w:fill="FFFFFF"/>
        </w:rPr>
        <w:t xml:space="preserve">(a) </w:t>
      </w:r>
      <w:r w:rsidR="00776BD3" w:rsidRPr="00414982">
        <w:rPr>
          <w:rFonts w:asciiTheme="majorHAnsi" w:hAnsiTheme="majorHAnsi" w:cs="Arial"/>
          <w:sz w:val="24"/>
          <w:szCs w:val="24"/>
          <w:shd w:val="clear" w:color="auto" w:fill="FFFFFF"/>
        </w:rPr>
        <w:t xml:space="preserve">de la Ley 21-2016.  </w:t>
      </w:r>
    </w:p>
    <w:p w14:paraId="0FAB99CB" w14:textId="77777777" w:rsidR="00673F8F" w:rsidRPr="00414982" w:rsidRDefault="00673F8F" w:rsidP="008D5571">
      <w:pPr>
        <w:pStyle w:val="Body1"/>
        <w:spacing w:after="0" w:line="240" w:lineRule="auto"/>
        <w:jc w:val="both"/>
        <w:rPr>
          <w:rFonts w:asciiTheme="majorHAnsi" w:hAnsiTheme="majorHAnsi" w:cs="Arial"/>
          <w:sz w:val="24"/>
          <w:szCs w:val="24"/>
          <w:shd w:val="clear" w:color="auto" w:fill="FFFFFF"/>
        </w:rPr>
      </w:pPr>
    </w:p>
    <w:p w14:paraId="3482CBB5" w14:textId="560417D3" w:rsidR="00B31A04" w:rsidRPr="00414982" w:rsidRDefault="00673F8F" w:rsidP="008D5571">
      <w:pPr>
        <w:pStyle w:val="Body1"/>
        <w:spacing w:after="0" w:line="240" w:lineRule="auto"/>
        <w:jc w:val="both"/>
        <w:rPr>
          <w:rFonts w:asciiTheme="majorHAnsi" w:hAnsiTheme="majorHAnsi" w:cs="Arial"/>
          <w:sz w:val="24"/>
          <w:szCs w:val="24"/>
        </w:rPr>
      </w:pPr>
      <w:r w:rsidRPr="00414982">
        <w:rPr>
          <w:rFonts w:asciiTheme="majorHAnsi" w:hAnsiTheme="majorHAnsi" w:cs="Arial"/>
          <w:sz w:val="24"/>
          <w:szCs w:val="24"/>
          <w:shd w:val="clear" w:color="auto" w:fill="FFFFFF"/>
        </w:rPr>
        <w:t>Como es conocido, previo a la creación de la Autoridad mediante la Ley 21-2016, era el Banco Gubernamental de Fomento para Puerto Rico (“BGF”</w:t>
      </w:r>
      <w:r w:rsidR="009D25F3" w:rsidRPr="00414982">
        <w:rPr>
          <w:rFonts w:asciiTheme="majorHAnsi" w:hAnsiTheme="majorHAnsi" w:cs="Arial"/>
          <w:sz w:val="24"/>
          <w:szCs w:val="24"/>
          <w:shd w:val="clear" w:color="auto" w:fill="FFFFFF"/>
        </w:rPr>
        <w:t xml:space="preserve"> o el “Banco”</w:t>
      </w:r>
      <w:r w:rsidRPr="00414982">
        <w:rPr>
          <w:rFonts w:asciiTheme="majorHAnsi" w:hAnsiTheme="majorHAnsi" w:cs="Arial"/>
          <w:sz w:val="24"/>
          <w:szCs w:val="24"/>
          <w:shd w:val="clear" w:color="auto" w:fill="FFFFFF"/>
        </w:rPr>
        <w:t xml:space="preserve">) </w:t>
      </w:r>
      <w:r w:rsidR="009D25F3" w:rsidRPr="00414982">
        <w:rPr>
          <w:rFonts w:asciiTheme="majorHAnsi" w:hAnsiTheme="majorHAnsi" w:cs="Arial"/>
          <w:sz w:val="24"/>
          <w:szCs w:val="24"/>
          <w:shd w:val="clear" w:color="auto" w:fill="FFFFFF"/>
        </w:rPr>
        <w:t xml:space="preserve">el ente </w:t>
      </w:r>
      <w:r w:rsidRPr="00414982">
        <w:rPr>
          <w:rFonts w:asciiTheme="majorHAnsi" w:hAnsiTheme="majorHAnsi" w:cs="Arial"/>
          <w:sz w:val="24"/>
          <w:szCs w:val="24"/>
          <w:shd w:val="clear" w:color="auto" w:fill="FFFFFF"/>
        </w:rPr>
        <w:t>qu</w:t>
      </w:r>
      <w:r w:rsidR="009D25F3" w:rsidRPr="00414982">
        <w:rPr>
          <w:rFonts w:asciiTheme="majorHAnsi" w:hAnsiTheme="majorHAnsi" w:cs="Arial"/>
          <w:sz w:val="24"/>
          <w:szCs w:val="24"/>
          <w:shd w:val="clear" w:color="auto" w:fill="FFFFFF"/>
        </w:rPr>
        <w:t>e</w:t>
      </w:r>
      <w:r w:rsidRPr="00414982">
        <w:rPr>
          <w:rFonts w:asciiTheme="majorHAnsi" w:hAnsiTheme="majorHAnsi" w:cs="Arial"/>
          <w:sz w:val="24"/>
          <w:szCs w:val="24"/>
          <w:shd w:val="clear" w:color="auto" w:fill="FFFFFF"/>
        </w:rPr>
        <w:t xml:space="preserve"> </w:t>
      </w:r>
      <w:r w:rsidR="00EB4C8F" w:rsidRPr="00414982">
        <w:rPr>
          <w:rFonts w:asciiTheme="majorHAnsi" w:hAnsiTheme="majorHAnsi" w:cs="Arial"/>
          <w:sz w:val="24"/>
          <w:szCs w:val="24"/>
          <w:shd w:val="clear" w:color="auto" w:fill="FFFFFF"/>
        </w:rPr>
        <w:t>ejercía</w:t>
      </w:r>
      <w:r w:rsidRPr="00414982">
        <w:rPr>
          <w:rFonts w:asciiTheme="majorHAnsi" w:hAnsiTheme="majorHAnsi" w:cs="Arial"/>
          <w:sz w:val="24"/>
          <w:szCs w:val="24"/>
          <w:shd w:val="clear" w:color="auto" w:fill="FFFFFF"/>
        </w:rPr>
        <w:t xml:space="preserve"> las funciones que la Ley 21-2016 asignó a la Autoridad.  Sin embargo, </w:t>
      </w:r>
      <w:r w:rsidR="008C3705" w:rsidRPr="00414982">
        <w:rPr>
          <w:rFonts w:asciiTheme="majorHAnsi" w:hAnsiTheme="majorHAnsi" w:cs="Arial"/>
          <w:sz w:val="24"/>
          <w:szCs w:val="24"/>
          <w:shd w:val="clear" w:color="auto" w:fill="FFFFFF"/>
        </w:rPr>
        <w:t xml:space="preserve">según surge de la propia Exposición de Motivos de la Ley 21-2016, la </w:t>
      </w:r>
      <w:r w:rsidRPr="00414982">
        <w:rPr>
          <w:rFonts w:asciiTheme="majorHAnsi" w:hAnsiTheme="majorHAnsi" w:cs="Arial"/>
          <w:sz w:val="24"/>
          <w:szCs w:val="24"/>
          <w:shd w:val="clear" w:color="auto" w:fill="FFFFFF"/>
        </w:rPr>
        <w:t>condici</w:t>
      </w:r>
      <w:r w:rsidR="008C3705" w:rsidRPr="00414982">
        <w:rPr>
          <w:rFonts w:asciiTheme="majorHAnsi" w:hAnsiTheme="majorHAnsi" w:cs="Arial"/>
          <w:sz w:val="24"/>
          <w:szCs w:val="24"/>
          <w:shd w:val="clear" w:color="auto" w:fill="FFFFFF"/>
        </w:rPr>
        <w:t xml:space="preserve">ón financiera del BGF se deterioró </w:t>
      </w:r>
      <w:r w:rsidR="00090180" w:rsidRPr="00414982">
        <w:rPr>
          <w:rFonts w:asciiTheme="majorHAnsi" w:hAnsiTheme="majorHAnsi" w:cs="Arial"/>
          <w:sz w:val="24"/>
          <w:szCs w:val="24"/>
          <w:shd w:val="clear" w:color="auto" w:fill="FFFFFF"/>
        </w:rPr>
        <w:t xml:space="preserve">en los pasados años </w:t>
      </w:r>
      <w:r w:rsidR="008C3705" w:rsidRPr="00414982">
        <w:rPr>
          <w:rFonts w:asciiTheme="majorHAnsi" w:hAnsiTheme="majorHAnsi" w:cs="Arial"/>
          <w:sz w:val="24"/>
          <w:szCs w:val="24"/>
          <w:shd w:val="clear" w:color="auto" w:fill="FFFFFF"/>
        </w:rPr>
        <w:t>a tal punto que dicha institución</w:t>
      </w:r>
      <w:r w:rsidR="009D25F3" w:rsidRPr="00414982">
        <w:rPr>
          <w:rFonts w:asciiTheme="majorHAnsi" w:hAnsiTheme="majorHAnsi" w:cs="Arial"/>
          <w:sz w:val="24"/>
          <w:szCs w:val="24"/>
          <w:shd w:val="clear" w:color="auto" w:fill="FFFFFF"/>
        </w:rPr>
        <w:t>, a mayo de 2016,</w:t>
      </w:r>
      <w:r w:rsidR="008C3705" w:rsidRPr="00414982">
        <w:rPr>
          <w:rFonts w:asciiTheme="majorHAnsi" w:hAnsiTheme="majorHAnsi" w:cs="Arial"/>
          <w:sz w:val="24"/>
          <w:szCs w:val="24"/>
          <w:shd w:val="clear" w:color="auto" w:fill="FFFFFF"/>
        </w:rPr>
        <w:t xml:space="preserve"> no tenía fondos suficientes para continuar cumpliendo con todas</w:t>
      </w:r>
      <w:r w:rsidR="00601190" w:rsidRPr="00414982">
        <w:rPr>
          <w:rFonts w:asciiTheme="majorHAnsi" w:hAnsiTheme="majorHAnsi" w:cs="Arial"/>
          <w:sz w:val="24"/>
          <w:szCs w:val="24"/>
          <w:shd w:val="clear" w:color="auto" w:fill="FFFFFF"/>
        </w:rPr>
        <w:t xml:space="preserve"> sus obligaciones</w:t>
      </w:r>
      <w:r w:rsidR="0016095D" w:rsidRPr="00414982">
        <w:rPr>
          <w:rFonts w:asciiTheme="majorHAnsi" w:hAnsiTheme="majorHAnsi" w:cs="Arial"/>
          <w:sz w:val="24"/>
          <w:szCs w:val="24"/>
          <w:shd w:val="clear" w:color="auto" w:fill="FFFFFF"/>
        </w:rPr>
        <w:t>, y a su vez continuar con sus operaciones rutinarias</w:t>
      </w:r>
      <w:r w:rsidR="008C3705" w:rsidRPr="00414982">
        <w:rPr>
          <w:rFonts w:asciiTheme="majorHAnsi" w:hAnsiTheme="majorHAnsi" w:cs="Arial"/>
          <w:sz w:val="24"/>
          <w:szCs w:val="24"/>
          <w:shd w:val="clear" w:color="auto" w:fill="FFFFFF"/>
        </w:rPr>
        <w:t xml:space="preserve">.  </w:t>
      </w:r>
      <w:r w:rsidR="00EB4C8F" w:rsidRPr="00414982">
        <w:rPr>
          <w:rFonts w:asciiTheme="majorHAnsi" w:hAnsiTheme="majorHAnsi" w:cs="Arial"/>
          <w:sz w:val="24"/>
          <w:szCs w:val="24"/>
          <w:shd w:val="clear" w:color="auto" w:fill="FFFFFF"/>
        </w:rPr>
        <w:t xml:space="preserve"> </w:t>
      </w:r>
      <w:r w:rsidR="0016095D" w:rsidRPr="00414982">
        <w:rPr>
          <w:rFonts w:asciiTheme="majorHAnsi" w:hAnsiTheme="majorHAnsi" w:cs="Arial"/>
          <w:sz w:val="24"/>
          <w:szCs w:val="24"/>
          <w:shd w:val="clear" w:color="auto" w:fill="FFFFFF"/>
        </w:rPr>
        <w:t>Ante ese escenario, esta Administración determinó que las funciones de asesoría financiera y</w:t>
      </w:r>
      <w:r w:rsidR="009D25F3" w:rsidRPr="00414982">
        <w:rPr>
          <w:rFonts w:asciiTheme="majorHAnsi" w:hAnsiTheme="majorHAnsi" w:cs="Arial"/>
          <w:sz w:val="24"/>
          <w:szCs w:val="24"/>
          <w:shd w:val="clear" w:color="auto" w:fill="FFFFFF"/>
        </w:rPr>
        <w:t xml:space="preserve"> </w:t>
      </w:r>
      <w:r w:rsidR="0016095D" w:rsidRPr="00414982">
        <w:rPr>
          <w:rFonts w:asciiTheme="majorHAnsi" w:hAnsiTheme="majorHAnsi" w:cs="Arial"/>
          <w:sz w:val="24"/>
          <w:szCs w:val="24"/>
          <w:shd w:val="clear" w:color="auto" w:fill="FFFFFF"/>
        </w:rPr>
        <w:t xml:space="preserve">agencia fiscal </w:t>
      </w:r>
      <w:r w:rsidR="009D25F3" w:rsidRPr="00414982">
        <w:rPr>
          <w:rFonts w:asciiTheme="majorHAnsi" w:hAnsiTheme="majorHAnsi" w:cs="Arial"/>
          <w:sz w:val="24"/>
          <w:szCs w:val="24"/>
          <w:shd w:val="clear" w:color="auto" w:fill="FFFFFF"/>
        </w:rPr>
        <w:t xml:space="preserve">de todo el Gobierno </w:t>
      </w:r>
      <w:r w:rsidR="00601190" w:rsidRPr="00414982">
        <w:rPr>
          <w:rFonts w:asciiTheme="majorHAnsi" w:hAnsiTheme="majorHAnsi" w:cs="Arial"/>
          <w:sz w:val="24"/>
          <w:szCs w:val="24"/>
          <w:shd w:val="clear" w:color="auto" w:fill="FFFFFF"/>
        </w:rPr>
        <w:t>debían</w:t>
      </w:r>
      <w:r w:rsidR="0016095D" w:rsidRPr="00414982">
        <w:rPr>
          <w:rFonts w:asciiTheme="majorHAnsi" w:hAnsiTheme="majorHAnsi" w:cs="Arial"/>
          <w:sz w:val="24"/>
          <w:szCs w:val="24"/>
          <w:shd w:val="clear" w:color="auto" w:fill="FFFFFF"/>
        </w:rPr>
        <w:t xml:space="preserve"> recaer en una entidad </w:t>
      </w:r>
      <w:r w:rsidR="00090180" w:rsidRPr="00414982">
        <w:rPr>
          <w:rFonts w:asciiTheme="majorHAnsi" w:hAnsiTheme="majorHAnsi" w:cs="Arial"/>
          <w:sz w:val="24"/>
          <w:szCs w:val="24"/>
          <w:shd w:val="clear" w:color="auto" w:fill="FFFFFF"/>
        </w:rPr>
        <w:t xml:space="preserve">nueva e </w:t>
      </w:r>
      <w:r w:rsidR="0016095D" w:rsidRPr="00414982">
        <w:rPr>
          <w:rFonts w:asciiTheme="majorHAnsi" w:hAnsiTheme="majorHAnsi" w:cs="Arial"/>
          <w:sz w:val="24"/>
          <w:szCs w:val="24"/>
          <w:shd w:val="clear" w:color="auto" w:fill="FFFFFF"/>
        </w:rPr>
        <w:t>independiente</w:t>
      </w:r>
      <w:r w:rsidR="00090180" w:rsidRPr="00414982">
        <w:rPr>
          <w:rFonts w:asciiTheme="majorHAnsi" w:hAnsiTheme="majorHAnsi" w:cs="Arial"/>
          <w:sz w:val="24"/>
          <w:szCs w:val="24"/>
          <w:shd w:val="clear" w:color="auto" w:fill="FFFFFF"/>
        </w:rPr>
        <w:t xml:space="preserve"> como la AAFAF</w:t>
      </w:r>
      <w:r w:rsidR="0016095D" w:rsidRPr="00414982">
        <w:rPr>
          <w:rFonts w:asciiTheme="majorHAnsi" w:hAnsiTheme="majorHAnsi" w:cs="Arial"/>
          <w:sz w:val="24"/>
          <w:szCs w:val="24"/>
          <w:shd w:val="clear" w:color="auto" w:fill="FFFFFF"/>
        </w:rPr>
        <w:t xml:space="preserve">, que pudiese </w:t>
      </w:r>
      <w:r w:rsidR="00EB4C8F" w:rsidRPr="00414982">
        <w:rPr>
          <w:rFonts w:asciiTheme="majorHAnsi" w:hAnsiTheme="majorHAnsi" w:cs="Arial"/>
          <w:sz w:val="24"/>
          <w:szCs w:val="24"/>
          <w:shd w:val="clear" w:color="auto" w:fill="FFFFFF"/>
        </w:rPr>
        <w:t xml:space="preserve">llevar </w:t>
      </w:r>
      <w:r w:rsidR="00EB4C8F" w:rsidRPr="00414982">
        <w:rPr>
          <w:rFonts w:asciiTheme="majorHAnsi" w:hAnsiTheme="majorHAnsi" w:cs="Arial"/>
          <w:sz w:val="24"/>
          <w:szCs w:val="24"/>
          <w:shd w:val="clear" w:color="auto" w:fill="FFFFFF"/>
        </w:rPr>
        <w:lastRenderedPageBreak/>
        <w:t>a cabo las mismas sin tener que manejar controversias con sus acreedores</w:t>
      </w:r>
      <w:r w:rsidR="009D25F3" w:rsidRPr="00414982">
        <w:rPr>
          <w:rFonts w:asciiTheme="majorHAnsi" w:hAnsiTheme="majorHAnsi" w:cs="Arial"/>
          <w:sz w:val="24"/>
          <w:szCs w:val="24"/>
          <w:shd w:val="clear" w:color="auto" w:fill="FFFFFF"/>
        </w:rPr>
        <w:t>.</w:t>
      </w:r>
      <w:r w:rsidR="00090180" w:rsidRPr="00414982">
        <w:rPr>
          <w:rFonts w:asciiTheme="majorHAnsi" w:hAnsiTheme="majorHAnsi" w:cs="Arial"/>
          <w:sz w:val="24"/>
          <w:szCs w:val="24"/>
          <w:shd w:val="clear" w:color="auto" w:fill="FFFFFF"/>
        </w:rPr>
        <w:t xml:space="preserve">  Es por ello que la Ley 21-2016 establece que “[t]odas las funciones de agente fiscal, asesor financiero y agente informativo del BGF serán automáticamente transferidas a la Autoridad, incluyendo todos aquellos poderes y responsabilidades bajo la Ley Núm. 272 de 15 de mayo de 1945, según enmendada”.</w:t>
      </w:r>
      <w:r w:rsidR="00687C6B" w:rsidRPr="00414982">
        <w:rPr>
          <w:rFonts w:asciiTheme="majorHAnsi" w:hAnsiTheme="majorHAnsi" w:cs="Arial"/>
          <w:sz w:val="24"/>
          <w:szCs w:val="24"/>
          <w:shd w:val="clear" w:color="auto" w:fill="FFFFFF"/>
        </w:rPr>
        <w:t xml:space="preserve">  Art. 602 (b) de la Ley 21-2016.</w:t>
      </w:r>
    </w:p>
    <w:p w14:paraId="20F38094" w14:textId="77777777" w:rsidR="00673F8F" w:rsidRPr="00414982" w:rsidRDefault="00673F8F" w:rsidP="008D5571">
      <w:pPr>
        <w:pStyle w:val="Body1"/>
        <w:spacing w:after="0" w:line="240" w:lineRule="auto"/>
        <w:jc w:val="both"/>
        <w:rPr>
          <w:rFonts w:asciiTheme="majorHAnsi" w:hAnsiTheme="majorHAnsi" w:cs="Arial"/>
          <w:sz w:val="24"/>
          <w:szCs w:val="24"/>
        </w:rPr>
      </w:pPr>
    </w:p>
    <w:p w14:paraId="3E82E4FC" w14:textId="77777777" w:rsidR="00687C6B" w:rsidRPr="00414982" w:rsidRDefault="00F22484" w:rsidP="008D5571">
      <w:pPr>
        <w:pStyle w:val="Body1"/>
        <w:spacing w:after="0" w:line="240" w:lineRule="auto"/>
        <w:jc w:val="both"/>
        <w:rPr>
          <w:rFonts w:asciiTheme="majorHAnsi" w:hAnsiTheme="majorHAnsi" w:cs="Arial"/>
          <w:sz w:val="24"/>
          <w:szCs w:val="24"/>
          <w:lang w:val="es-ES_tradnl"/>
        </w:rPr>
      </w:pPr>
      <w:r w:rsidRPr="00414982">
        <w:rPr>
          <w:rFonts w:asciiTheme="majorHAnsi" w:hAnsiTheme="majorHAnsi" w:cs="Arial"/>
          <w:sz w:val="24"/>
          <w:szCs w:val="24"/>
          <w:lang w:val="es-ES_tradnl"/>
        </w:rPr>
        <w:t xml:space="preserve">Además de las funciones de asesor financiero y agente fiscal de todo el Gobierno, la Ley 21-2016 también dispuso que </w:t>
      </w:r>
      <w:r w:rsidR="00090180" w:rsidRPr="00414982">
        <w:rPr>
          <w:rFonts w:asciiTheme="majorHAnsi" w:hAnsiTheme="majorHAnsi" w:cs="Arial"/>
          <w:sz w:val="24"/>
          <w:szCs w:val="24"/>
          <w:lang w:val="es-ES_tradnl"/>
        </w:rPr>
        <w:t xml:space="preserve">la Autoridad deberá </w:t>
      </w:r>
      <w:r w:rsidR="0037687B" w:rsidRPr="00414982">
        <w:rPr>
          <w:rFonts w:asciiTheme="majorHAnsi" w:hAnsiTheme="majorHAnsi" w:cs="Arial"/>
          <w:sz w:val="24"/>
          <w:szCs w:val="24"/>
          <w:lang w:val="es-ES_tradnl"/>
        </w:rPr>
        <w:t>“</w:t>
      </w:r>
      <w:r w:rsidR="00090180" w:rsidRPr="00414982">
        <w:rPr>
          <w:rFonts w:asciiTheme="majorHAnsi" w:hAnsiTheme="majorHAnsi" w:cs="Arial"/>
          <w:sz w:val="24"/>
          <w:szCs w:val="24"/>
          <w:lang w:val="es-ES_tradnl"/>
        </w:rPr>
        <w:t xml:space="preserve">supervisar todos los asuntos relacionados con la reestructuración o ajuste de cualquier obligación, o planes de contingencia para cualquier obligación del Estado Libre Asociado o cualquiera de sus </w:t>
      </w:r>
      <w:proofErr w:type="spellStart"/>
      <w:r w:rsidR="00090180" w:rsidRPr="00414982">
        <w:rPr>
          <w:rFonts w:asciiTheme="majorHAnsi" w:hAnsiTheme="majorHAnsi" w:cs="Arial"/>
          <w:sz w:val="24"/>
          <w:szCs w:val="24"/>
          <w:lang w:val="es-ES_tradnl"/>
        </w:rPr>
        <w:t>instrumentalidades</w:t>
      </w:r>
      <w:proofErr w:type="spellEnd"/>
      <w:r w:rsidR="0037687B" w:rsidRPr="00414982">
        <w:rPr>
          <w:rFonts w:asciiTheme="majorHAnsi" w:hAnsiTheme="majorHAnsi" w:cs="Arial"/>
          <w:sz w:val="24"/>
          <w:szCs w:val="24"/>
          <w:lang w:val="es-ES_tradnl"/>
        </w:rPr>
        <w:t>”</w:t>
      </w:r>
      <w:r w:rsidR="00090180" w:rsidRPr="00414982">
        <w:rPr>
          <w:rFonts w:asciiTheme="majorHAnsi" w:hAnsiTheme="majorHAnsi" w:cs="Arial"/>
          <w:sz w:val="24"/>
          <w:szCs w:val="24"/>
          <w:lang w:val="es-ES_tradnl"/>
        </w:rPr>
        <w:t xml:space="preserve">. </w:t>
      </w:r>
      <w:r w:rsidR="00687C6B" w:rsidRPr="00414982">
        <w:rPr>
          <w:rFonts w:asciiTheme="majorHAnsi" w:hAnsiTheme="majorHAnsi" w:cs="Arial"/>
          <w:sz w:val="24"/>
          <w:szCs w:val="24"/>
          <w:u w:val="single"/>
          <w:lang w:val="es-ES_tradnl"/>
        </w:rPr>
        <w:t>Id.</w:t>
      </w:r>
      <w:r w:rsidR="00687C6B" w:rsidRPr="00414982">
        <w:rPr>
          <w:rFonts w:asciiTheme="majorHAnsi" w:hAnsiTheme="majorHAnsi" w:cs="Arial"/>
          <w:sz w:val="24"/>
          <w:szCs w:val="24"/>
          <w:lang w:val="es-ES_tradnl"/>
        </w:rPr>
        <w:t xml:space="preserve">  </w:t>
      </w:r>
      <w:r w:rsidR="0037687B" w:rsidRPr="00414982">
        <w:rPr>
          <w:rFonts w:asciiTheme="majorHAnsi" w:hAnsiTheme="majorHAnsi" w:cs="Arial"/>
          <w:sz w:val="24"/>
          <w:szCs w:val="24"/>
          <w:lang w:val="es-ES_tradnl"/>
        </w:rPr>
        <w:t xml:space="preserve">Así pues, la Autoridad se convirtió </w:t>
      </w:r>
      <w:r w:rsidR="00D2177B" w:rsidRPr="00414982">
        <w:rPr>
          <w:rFonts w:asciiTheme="majorHAnsi" w:hAnsiTheme="majorHAnsi" w:cs="Arial"/>
          <w:sz w:val="24"/>
          <w:szCs w:val="24"/>
          <w:lang w:val="es-ES_tradnl"/>
        </w:rPr>
        <w:t xml:space="preserve">en la entidad encargada de manejar todos los asuntos relacionados con la reestructuración de la deuda pública lo cual, como veremos más adelante, se deberá manejar bajo la dirección de la Junta de Supervisión Fiscal creada por la </w:t>
      </w:r>
      <w:r w:rsidR="00D2177B" w:rsidRPr="00414982">
        <w:rPr>
          <w:rFonts w:asciiTheme="majorHAnsi" w:hAnsiTheme="majorHAnsi" w:cs="Arial"/>
          <w:i/>
          <w:sz w:val="24"/>
          <w:szCs w:val="24"/>
          <w:lang w:val="es-ES_tradnl"/>
        </w:rPr>
        <w:t xml:space="preserve">Puerto Rico </w:t>
      </w:r>
      <w:proofErr w:type="spellStart"/>
      <w:r w:rsidR="00D2177B" w:rsidRPr="00414982">
        <w:rPr>
          <w:rFonts w:asciiTheme="majorHAnsi" w:hAnsiTheme="majorHAnsi" w:cs="Arial"/>
          <w:i/>
          <w:sz w:val="24"/>
          <w:szCs w:val="24"/>
          <w:lang w:val="es-ES_tradnl"/>
        </w:rPr>
        <w:t>Oversight</w:t>
      </w:r>
      <w:proofErr w:type="spellEnd"/>
      <w:r w:rsidR="00D2177B" w:rsidRPr="00414982">
        <w:rPr>
          <w:rFonts w:asciiTheme="majorHAnsi" w:hAnsiTheme="majorHAnsi" w:cs="Arial"/>
          <w:i/>
          <w:sz w:val="24"/>
          <w:szCs w:val="24"/>
          <w:lang w:val="es-ES_tradnl"/>
        </w:rPr>
        <w:t xml:space="preserve">, Management, and </w:t>
      </w:r>
      <w:proofErr w:type="spellStart"/>
      <w:r w:rsidR="00D2177B" w:rsidRPr="00414982">
        <w:rPr>
          <w:rFonts w:asciiTheme="majorHAnsi" w:hAnsiTheme="majorHAnsi" w:cs="Arial"/>
          <w:i/>
          <w:sz w:val="24"/>
          <w:szCs w:val="24"/>
          <w:lang w:val="es-ES_tradnl"/>
        </w:rPr>
        <w:t>Economic</w:t>
      </w:r>
      <w:proofErr w:type="spellEnd"/>
      <w:r w:rsidR="00D2177B" w:rsidRPr="00414982">
        <w:rPr>
          <w:rFonts w:asciiTheme="majorHAnsi" w:hAnsiTheme="majorHAnsi" w:cs="Arial"/>
          <w:i/>
          <w:sz w:val="24"/>
          <w:szCs w:val="24"/>
          <w:lang w:val="es-ES_tradnl"/>
        </w:rPr>
        <w:t xml:space="preserve"> </w:t>
      </w:r>
      <w:proofErr w:type="spellStart"/>
      <w:r w:rsidR="00D2177B" w:rsidRPr="00414982">
        <w:rPr>
          <w:rFonts w:asciiTheme="majorHAnsi" w:hAnsiTheme="majorHAnsi" w:cs="Arial"/>
          <w:i/>
          <w:sz w:val="24"/>
          <w:szCs w:val="24"/>
          <w:lang w:val="es-ES_tradnl"/>
        </w:rPr>
        <w:t>Stability</w:t>
      </w:r>
      <w:proofErr w:type="spellEnd"/>
      <w:r w:rsidR="00D2177B" w:rsidRPr="00414982">
        <w:rPr>
          <w:rFonts w:asciiTheme="majorHAnsi" w:hAnsiTheme="majorHAnsi" w:cs="Arial"/>
          <w:i/>
          <w:sz w:val="24"/>
          <w:szCs w:val="24"/>
          <w:lang w:val="es-ES_tradnl"/>
        </w:rPr>
        <w:t xml:space="preserve"> </w:t>
      </w:r>
      <w:proofErr w:type="spellStart"/>
      <w:r w:rsidR="00D2177B" w:rsidRPr="00414982">
        <w:rPr>
          <w:rFonts w:asciiTheme="majorHAnsi" w:hAnsiTheme="majorHAnsi" w:cs="Arial"/>
          <w:i/>
          <w:sz w:val="24"/>
          <w:szCs w:val="24"/>
          <w:lang w:val="es-ES_tradnl"/>
        </w:rPr>
        <w:t>Act</w:t>
      </w:r>
      <w:proofErr w:type="spellEnd"/>
      <w:r w:rsidR="00687C6B" w:rsidRPr="00414982">
        <w:rPr>
          <w:rFonts w:asciiTheme="majorHAnsi" w:hAnsiTheme="majorHAnsi" w:cs="Arial"/>
          <w:sz w:val="24"/>
          <w:szCs w:val="24"/>
          <w:lang w:val="es-ES_tradnl"/>
        </w:rPr>
        <w:t>,</w:t>
      </w:r>
      <w:r w:rsidR="00D2177B" w:rsidRPr="00414982">
        <w:rPr>
          <w:rFonts w:asciiTheme="majorHAnsi" w:hAnsiTheme="majorHAnsi" w:cs="Arial"/>
          <w:sz w:val="24"/>
          <w:szCs w:val="24"/>
          <w:lang w:val="es-ES_tradnl"/>
        </w:rPr>
        <w:t xml:space="preserve"> conocida como PROMESA.  </w:t>
      </w:r>
    </w:p>
    <w:p w14:paraId="5310D2B2" w14:textId="77777777" w:rsidR="00687C6B" w:rsidRPr="00414982" w:rsidRDefault="00687C6B" w:rsidP="008D5571">
      <w:pPr>
        <w:pStyle w:val="Body1"/>
        <w:spacing w:after="0" w:line="240" w:lineRule="auto"/>
        <w:jc w:val="both"/>
        <w:rPr>
          <w:rFonts w:asciiTheme="majorHAnsi" w:hAnsiTheme="majorHAnsi" w:cs="Arial"/>
          <w:sz w:val="24"/>
          <w:szCs w:val="24"/>
          <w:lang w:val="es-ES_tradnl"/>
        </w:rPr>
      </w:pPr>
    </w:p>
    <w:p w14:paraId="476FDEF7" w14:textId="68D112A7" w:rsidR="00687C6B" w:rsidRPr="00414982" w:rsidRDefault="00687C6B" w:rsidP="008D5571">
      <w:pPr>
        <w:pStyle w:val="Body1"/>
        <w:numPr>
          <w:ilvl w:val="0"/>
          <w:numId w:val="2"/>
        </w:numPr>
        <w:spacing w:after="0" w:line="240" w:lineRule="auto"/>
        <w:jc w:val="both"/>
        <w:rPr>
          <w:rFonts w:asciiTheme="majorHAnsi" w:hAnsiTheme="majorHAnsi" w:cs="Arial"/>
          <w:b/>
          <w:sz w:val="24"/>
          <w:szCs w:val="24"/>
          <w:lang w:val="es-ES_tradnl"/>
        </w:rPr>
      </w:pPr>
      <w:r w:rsidRPr="00414982">
        <w:rPr>
          <w:rFonts w:asciiTheme="majorHAnsi" w:hAnsiTheme="majorHAnsi" w:cs="Arial"/>
          <w:b/>
          <w:sz w:val="24"/>
          <w:szCs w:val="24"/>
          <w:lang w:val="es-ES_tradnl"/>
        </w:rPr>
        <w:t>Funciones</w:t>
      </w:r>
      <w:r w:rsidR="00E2791B" w:rsidRPr="00414982">
        <w:rPr>
          <w:rFonts w:asciiTheme="majorHAnsi" w:hAnsiTheme="majorHAnsi" w:cs="Arial"/>
          <w:b/>
          <w:sz w:val="24"/>
          <w:szCs w:val="24"/>
          <w:lang w:val="es-ES_tradnl"/>
        </w:rPr>
        <w:t xml:space="preserve"> Principales</w:t>
      </w:r>
    </w:p>
    <w:p w14:paraId="5763CD3B" w14:textId="77777777" w:rsidR="00E2791B" w:rsidRPr="00414982" w:rsidRDefault="00E2791B" w:rsidP="008D5571">
      <w:pPr>
        <w:pStyle w:val="Body1"/>
        <w:spacing w:after="0" w:line="240" w:lineRule="auto"/>
        <w:jc w:val="both"/>
        <w:rPr>
          <w:rFonts w:asciiTheme="majorHAnsi" w:hAnsiTheme="majorHAnsi" w:cs="Arial"/>
          <w:sz w:val="24"/>
          <w:szCs w:val="24"/>
          <w:lang w:val="es-ES_tradnl"/>
        </w:rPr>
      </w:pPr>
    </w:p>
    <w:p w14:paraId="37C57526" w14:textId="086C2413" w:rsidR="00E2791B" w:rsidRPr="00414982" w:rsidRDefault="00E2791B" w:rsidP="008D5571">
      <w:pPr>
        <w:pStyle w:val="Body1"/>
        <w:numPr>
          <w:ilvl w:val="0"/>
          <w:numId w:val="3"/>
        </w:numPr>
        <w:spacing w:after="0" w:line="240" w:lineRule="auto"/>
        <w:jc w:val="both"/>
        <w:rPr>
          <w:rFonts w:asciiTheme="majorHAnsi" w:hAnsiTheme="majorHAnsi" w:cs="Arial"/>
          <w:sz w:val="24"/>
          <w:szCs w:val="24"/>
          <w:lang w:val="es-ES_tradnl"/>
        </w:rPr>
      </w:pPr>
      <w:r w:rsidRPr="00414982">
        <w:rPr>
          <w:rFonts w:asciiTheme="majorHAnsi" w:hAnsiTheme="majorHAnsi" w:cs="Arial"/>
          <w:sz w:val="24"/>
          <w:szCs w:val="24"/>
          <w:lang w:val="es-ES_tradnl"/>
        </w:rPr>
        <w:t>Asesoría Financiera</w:t>
      </w:r>
    </w:p>
    <w:p w14:paraId="5DB85CEE" w14:textId="77777777" w:rsidR="00E2791B" w:rsidRPr="00414982" w:rsidRDefault="00E2791B" w:rsidP="008D5571">
      <w:pPr>
        <w:pStyle w:val="Body1"/>
        <w:spacing w:after="0" w:line="240" w:lineRule="auto"/>
        <w:jc w:val="both"/>
        <w:rPr>
          <w:rFonts w:asciiTheme="majorHAnsi" w:hAnsiTheme="majorHAnsi" w:cs="Arial"/>
          <w:sz w:val="24"/>
          <w:szCs w:val="24"/>
          <w:lang w:val="es-ES_tradnl"/>
        </w:rPr>
      </w:pPr>
    </w:p>
    <w:p w14:paraId="0404B41E" w14:textId="59DF1EB1" w:rsidR="00C909F2" w:rsidRPr="00414982" w:rsidRDefault="00C909F2" w:rsidP="008D5571">
      <w:pPr>
        <w:pStyle w:val="BodyText"/>
        <w:ind w:right="10"/>
        <w:jc w:val="both"/>
        <w:rPr>
          <w:rFonts w:asciiTheme="majorHAnsi" w:hAnsiTheme="majorHAnsi" w:cs="Arial"/>
          <w:lang w:val="es-PR"/>
        </w:rPr>
      </w:pPr>
      <w:r w:rsidRPr="00414982">
        <w:rPr>
          <w:rFonts w:asciiTheme="majorHAnsi" w:hAnsiTheme="majorHAnsi" w:cs="Arial"/>
          <w:lang w:val="es-PR"/>
        </w:rPr>
        <w:t xml:space="preserve">La división de Asesoría Financiera de la Autoridad actualmente se subdivide en dos áreas: el Departamento de Obligaciones Generales y el Departamento de Obligaciones de Renta, que responden a las áreas </w:t>
      </w:r>
      <w:r w:rsidR="00A87DCB" w:rsidRPr="00414982">
        <w:rPr>
          <w:rFonts w:asciiTheme="majorHAnsi" w:hAnsiTheme="majorHAnsi" w:cs="Arial"/>
          <w:lang w:val="es-PR"/>
        </w:rPr>
        <w:t>que existían en el Departamento de Financiamiento del BGF</w:t>
      </w:r>
      <w:r w:rsidRPr="00414982">
        <w:rPr>
          <w:rFonts w:asciiTheme="majorHAnsi" w:hAnsiTheme="majorHAnsi" w:cs="Arial"/>
          <w:lang w:val="es-PR"/>
        </w:rPr>
        <w:t>.</w:t>
      </w:r>
      <w:r w:rsidR="00A87DCB" w:rsidRPr="00414982">
        <w:rPr>
          <w:rStyle w:val="FootnoteReference"/>
          <w:rFonts w:asciiTheme="majorHAnsi" w:hAnsiTheme="majorHAnsi" w:cs="Arial"/>
          <w:lang w:val="es-PR"/>
        </w:rPr>
        <w:footnoteReference w:id="1"/>
      </w:r>
      <w:r w:rsidRPr="00414982">
        <w:rPr>
          <w:rFonts w:asciiTheme="majorHAnsi" w:hAnsiTheme="majorHAnsi" w:cs="Arial"/>
          <w:lang w:val="es-PR"/>
        </w:rPr>
        <w:t xml:space="preserve">  </w:t>
      </w:r>
      <w:r w:rsidR="008E2041" w:rsidRPr="00414982">
        <w:rPr>
          <w:rFonts w:asciiTheme="majorHAnsi" w:hAnsiTheme="majorHAnsi" w:cs="Arial"/>
          <w:lang w:val="es-PR"/>
        </w:rPr>
        <w:t>El Departa</w:t>
      </w:r>
      <w:r w:rsidRPr="00414982">
        <w:rPr>
          <w:rFonts w:asciiTheme="majorHAnsi" w:hAnsiTheme="majorHAnsi" w:cs="Arial"/>
          <w:lang w:val="es-PR"/>
        </w:rPr>
        <w:t>mento de Obligaciones Generales</w:t>
      </w:r>
      <w:r w:rsidR="008E2041" w:rsidRPr="00414982">
        <w:rPr>
          <w:rFonts w:asciiTheme="majorHAnsi" w:hAnsiTheme="majorHAnsi" w:cs="Arial"/>
          <w:lang w:val="es-PR"/>
        </w:rPr>
        <w:t xml:space="preserve"> es el encargado de asesorar financieramente, servir de agente fiscal, evaluar y tramitar los financiamientos solicitados por las agencias y/o </w:t>
      </w:r>
      <w:proofErr w:type="spellStart"/>
      <w:r w:rsidR="008E2041" w:rsidRPr="00414982">
        <w:rPr>
          <w:rFonts w:asciiTheme="majorHAnsi" w:hAnsiTheme="majorHAnsi" w:cs="Arial"/>
          <w:lang w:val="es-PR"/>
        </w:rPr>
        <w:t>instrumentalidades</w:t>
      </w:r>
      <w:proofErr w:type="spellEnd"/>
      <w:r w:rsidR="008E2041" w:rsidRPr="00414982">
        <w:rPr>
          <w:rFonts w:asciiTheme="majorHAnsi" w:hAnsiTheme="majorHAnsi" w:cs="Arial"/>
          <w:lang w:val="es-PR"/>
        </w:rPr>
        <w:t xml:space="preserve"> del Gobierno</w:t>
      </w:r>
      <w:r w:rsidRPr="00414982">
        <w:rPr>
          <w:rFonts w:asciiTheme="majorHAnsi" w:hAnsiTheme="majorHAnsi" w:cs="Arial"/>
          <w:lang w:val="es-PR"/>
        </w:rPr>
        <w:t xml:space="preserve"> Central</w:t>
      </w:r>
      <w:r w:rsidR="008E2041" w:rsidRPr="00414982">
        <w:rPr>
          <w:rFonts w:asciiTheme="majorHAnsi" w:hAnsiTheme="majorHAnsi" w:cs="Arial"/>
          <w:lang w:val="es-PR"/>
        </w:rPr>
        <w:t xml:space="preserve">, según dispone la Ley 21-2016.  </w:t>
      </w:r>
    </w:p>
    <w:p w14:paraId="5FA941F1" w14:textId="77777777" w:rsidR="006C7ACA" w:rsidRPr="00414982" w:rsidRDefault="006C7ACA" w:rsidP="008D5571">
      <w:pPr>
        <w:pStyle w:val="BodyText"/>
        <w:ind w:right="10"/>
        <w:jc w:val="both"/>
        <w:rPr>
          <w:rFonts w:asciiTheme="majorHAnsi" w:hAnsiTheme="majorHAnsi" w:cs="Arial"/>
          <w:lang w:val="es-PR"/>
        </w:rPr>
      </w:pPr>
    </w:p>
    <w:p w14:paraId="26C51DE7" w14:textId="3444C672" w:rsidR="008E2041" w:rsidRPr="00414982" w:rsidRDefault="00EB4C8F" w:rsidP="008D5571">
      <w:pPr>
        <w:pStyle w:val="BodyText"/>
        <w:ind w:right="10"/>
        <w:jc w:val="both"/>
        <w:rPr>
          <w:rFonts w:asciiTheme="majorHAnsi" w:hAnsiTheme="majorHAnsi" w:cs="Arial"/>
          <w:lang w:val="es-PR"/>
        </w:rPr>
      </w:pPr>
      <w:r w:rsidRPr="00414982">
        <w:rPr>
          <w:rFonts w:asciiTheme="majorHAnsi" w:hAnsiTheme="majorHAnsi" w:cs="Arial"/>
          <w:lang w:val="es-PR"/>
        </w:rPr>
        <w:t>E</w:t>
      </w:r>
      <w:r w:rsidR="008E2041" w:rsidRPr="00414982">
        <w:rPr>
          <w:rFonts w:asciiTheme="majorHAnsi" w:hAnsiTheme="majorHAnsi" w:cs="Arial"/>
          <w:lang w:val="es-PR"/>
        </w:rPr>
        <w:t xml:space="preserve">ste Departamento es </w:t>
      </w:r>
      <w:r w:rsidRPr="00414982">
        <w:rPr>
          <w:rFonts w:asciiTheme="majorHAnsi" w:hAnsiTheme="majorHAnsi" w:cs="Arial"/>
          <w:lang w:val="es-PR"/>
        </w:rPr>
        <w:t xml:space="preserve">también </w:t>
      </w:r>
      <w:r w:rsidR="008E2041" w:rsidRPr="00414982">
        <w:rPr>
          <w:rFonts w:asciiTheme="majorHAnsi" w:hAnsiTheme="majorHAnsi" w:cs="Arial"/>
          <w:lang w:val="es-PR"/>
        </w:rPr>
        <w:t xml:space="preserve">el encargado de recopilar, ratificar y preparar mensualmente el informe de deuda pública del Gobierno de </w:t>
      </w:r>
      <w:r w:rsidRPr="00414982">
        <w:rPr>
          <w:rFonts w:asciiTheme="majorHAnsi" w:hAnsiTheme="majorHAnsi" w:cs="Arial"/>
          <w:lang w:val="es-PR"/>
        </w:rPr>
        <w:t>Puerto Rico</w:t>
      </w:r>
      <w:r w:rsidR="008E2041" w:rsidRPr="00414982">
        <w:rPr>
          <w:rFonts w:asciiTheme="majorHAnsi" w:hAnsiTheme="majorHAnsi" w:cs="Arial"/>
          <w:lang w:val="es-PR"/>
        </w:rPr>
        <w:t>, el cual incluye la deud</w:t>
      </w:r>
      <w:r w:rsidRPr="00414982">
        <w:rPr>
          <w:rFonts w:asciiTheme="majorHAnsi" w:hAnsiTheme="majorHAnsi" w:cs="Arial"/>
          <w:lang w:val="es-PR"/>
        </w:rPr>
        <w:t>a del Gobierno Central, de las corporaciones p</w:t>
      </w:r>
      <w:r w:rsidR="008E2041" w:rsidRPr="00414982">
        <w:rPr>
          <w:rFonts w:asciiTheme="majorHAnsi" w:hAnsiTheme="majorHAnsi" w:cs="Arial"/>
          <w:lang w:val="es-PR"/>
        </w:rPr>
        <w:t xml:space="preserve">úblicas y de los Municipios.  El área de arbitraje es otra de las responsabilidades principales del Departamento.  La División de Arbitraje tiene la función de asistir a las entidades gubernamentales emisoras de bonos exentos en el cumplimiento con los requisitos sobre arbitraje contenidos en la Ley de Reforma Contributiva de 1986 del Tesoro Federal de los Estados Unidos, según enmendada. </w:t>
      </w:r>
    </w:p>
    <w:p w14:paraId="54F6D7A8" w14:textId="77777777" w:rsidR="00C909F2" w:rsidRPr="00414982" w:rsidRDefault="00C909F2" w:rsidP="00C909F2">
      <w:pPr>
        <w:pStyle w:val="BodyText"/>
        <w:spacing w:line="276" w:lineRule="auto"/>
        <w:ind w:right="10"/>
        <w:jc w:val="both"/>
        <w:rPr>
          <w:rFonts w:asciiTheme="majorHAnsi" w:hAnsiTheme="majorHAnsi" w:cs="Arial"/>
          <w:lang w:val="es-PR"/>
        </w:rPr>
      </w:pPr>
    </w:p>
    <w:p w14:paraId="2E3FB091" w14:textId="1D92B4C9" w:rsidR="00DB7DC6" w:rsidRPr="00414982" w:rsidRDefault="00C909F2" w:rsidP="008D5571">
      <w:pPr>
        <w:pStyle w:val="BodyText"/>
        <w:ind w:right="43"/>
        <w:jc w:val="both"/>
        <w:rPr>
          <w:rFonts w:asciiTheme="majorHAnsi" w:hAnsiTheme="majorHAnsi" w:cs="Arial"/>
          <w:lang w:val="es-PR"/>
        </w:rPr>
      </w:pPr>
      <w:r w:rsidRPr="00414982">
        <w:rPr>
          <w:rFonts w:asciiTheme="majorHAnsi" w:hAnsiTheme="majorHAnsi" w:cs="Arial"/>
          <w:lang w:val="es-PR"/>
        </w:rPr>
        <w:t>Por su pa</w:t>
      </w:r>
      <w:r w:rsidR="00490740" w:rsidRPr="00414982">
        <w:rPr>
          <w:rFonts w:asciiTheme="majorHAnsi" w:hAnsiTheme="majorHAnsi" w:cs="Arial"/>
          <w:lang w:val="es-PR"/>
        </w:rPr>
        <w:t>rte, el Departamento de Obligaciones de Renta de la AAFAF se encarga de proveer servicios de agente fiscal y asesoramiento financiero a las corporaciones públicas del gobierno q</w:t>
      </w:r>
      <w:r w:rsidR="00A87DCB" w:rsidRPr="00414982">
        <w:rPr>
          <w:rFonts w:asciiTheme="majorHAnsi" w:hAnsiTheme="majorHAnsi" w:cs="Arial"/>
          <w:lang w:val="es-PR"/>
        </w:rPr>
        <w:t>ue generan sus propios ingresos</w:t>
      </w:r>
      <w:r w:rsidR="00490740" w:rsidRPr="00414982">
        <w:rPr>
          <w:rFonts w:asciiTheme="majorHAnsi" w:hAnsiTheme="majorHAnsi" w:cs="Arial"/>
          <w:lang w:val="es-PR"/>
        </w:rPr>
        <w:t>, incluyendo al BGF.</w:t>
      </w:r>
      <w:r w:rsidR="008C50DE" w:rsidRPr="00414982">
        <w:rPr>
          <w:rFonts w:asciiTheme="majorHAnsi" w:hAnsiTheme="majorHAnsi" w:cs="Arial"/>
          <w:lang w:val="es-PR"/>
        </w:rPr>
        <w:t xml:space="preserve">   Uno de los programas </w:t>
      </w:r>
      <w:r w:rsidR="008C50DE" w:rsidRPr="00414982">
        <w:rPr>
          <w:rFonts w:asciiTheme="majorHAnsi" w:hAnsiTheme="majorHAnsi" w:cs="Arial"/>
          <w:lang w:val="es-PR"/>
        </w:rPr>
        <w:lastRenderedPageBreak/>
        <w:t xml:space="preserve">más importantes supervisado por el Departamento de Obligaciones de Renta es el de los llamados Fondos </w:t>
      </w:r>
      <w:r w:rsidR="007D0BF3" w:rsidRPr="00414982">
        <w:rPr>
          <w:rFonts w:asciiTheme="majorHAnsi" w:hAnsiTheme="majorHAnsi" w:cs="Arial"/>
          <w:lang w:val="es-PR"/>
        </w:rPr>
        <w:t xml:space="preserve">Rotatorios Estatales (FRE), estos son, el </w:t>
      </w:r>
      <w:proofErr w:type="spellStart"/>
      <w:r w:rsidR="008C50DE" w:rsidRPr="00414982">
        <w:rPr>
          <w:rFonts w:asciiTheme="majorHAnsi" w:hAnsiTheme="majorHAnsi" w:cs="Arial"/>
          <w:i/>
          <w:lang w:val="es-PR"/>
        </w:rPr>
        <w:t>Drinking</w:t>
      </w:r>
      <w:proofErr w:type="spellEnd"/>
      <w:r w:rsidR="008C50DE" w:rsidRPr="00414982">
        <w:rPr>
          <w:rFonts w:asciiTheme="majorHAnsi" w:hAnsiTheme="majorHAnsi" w:cs="Arial"/>
          <w:i/>
          <w:lang w:val="es-PR"/>
        </w:rPr>
        <w:t xml:space="preserve"> </w:t>
      </w:r>
      <w:proofErr w:type="spellStart"/>
      <w:r w:rsidR="008C50DE" w:rsidRPr="00414982">
        <w:rPr>
          <w:rFonts w:asciiTheme="majorHAnsi" w:hAnsiTheme="majorHAnsi" w:cs="Arial"/>
          <w:i/>
          <w:lang w:val="es-PR"/>
        </w:rPr>
        <w:t>Water</w:t>
      </w:r>
      <w:proofErr w:type="spellEnd"/>
      <w:r w:rsidR="008C50DE" w:rsidRPr="00414982">
        <w:rPr>
          <w:rFonts w:asciiTheme="majorHAnsi" w:hAnsiTheme="majorHAnsi" w:cs="Arial"/>
          <w:i/>
          <w:lang w:val="es-PR"/>
        </w:rPr>
        <w:t xml:space="preserve"> </w:t>
      </w:r>
      <w:proofErr w:type="spellStart"/>
      <w:r w:rsidR="008C50DE" w:rsidRPr="00414982">
        <w:rPr>
          <w:rFonts w:asciiTheme="majorHAnsi" w:hAnsiTheme="majorHAnsi" w:cs="Arial"/>
          <w:i/>
          <w:lang w:val="es-PR"/>
        </w:rPr>
        <w:t>State</w:t>
      </w:r>
      <w:proofErr w:type="spellEnd"/>
      <w:r w:rsidR="008C50DE" w:rsidRPr="00414982">
        <w:rPr>
          <w:rFonts w:asciiTheme="majorHAnsi" w:hAnsiTheme="majorHAnsi" w:cs="Arial"/>
          <w:i/>
          <w:lang w:val="es-PR"/>
        </w:rPr>
        <w:t xml:space="preserve"> </w:t>
      </w:r>
      <w:proofErr w:type="spellStart"/>
      <w:r w:rsidR="008C50DE" w:rsidRPr="00414982">
        <w:rPr>
          <w:rFonts w:asciiTheme="majorHAnsi" w:hAnsiTheme="majorHAnsi" w:cs="Arial"/>
          <w:i/>
          <w:lang w:val="es-PR"/>
        </w:rPr>
        <w:t>Revolving</w:t>
      </w:r>
      <w:proofErr w:type="spellEnd"/>
      <w:r w:rsidR="008C50DE" w:rsidRPr="00414982">
        <w:rPr>
          <w:rFonts w:asciiTheme="majorHAnsi" w:hAnsiTheme="majorHAnsi" w:cs="Arial"/>
          <w:i/>
          <w:lang w:val="es-PR"/>
        </w:rPr>
        <w:t xml:space="preserve"> </w:t>
      </w:r>
      <w:proofErr w:type="spellStart"/>
      <w:r w:rsidR="008C50DE" w:rsidRPr="00414982">
        <w:rPr>
          <w:rFonts w:asciiTheme="majorHAnsi" w:hAnsiTheme="majorHAnsi" w:cs="Arial"/>
          <w:i/>
          <w:lang w:val="es-PR"/>
        </w:rPr>
        <w:t>Fund</w:t>
      </w:r>
      <w:proofErr w:type="spellEnd"/>
      <w:r w:rsidR="007D0BF3" w:rsidRPr="00414982">
        <w:rPr>
          <w:rFonts w:asciiTheme="majorHAnsi" w:hAnsiTheme="majorHAnsi" w:cs="Arial"/>
          <w:lang w:val="es-PR"/>
        </w:rPr>
        <w:t xml:space="preserve">  y el </w:t>
      </w:r>
      <w:proofErr w:type="spellStart"/>
      <w:r w:rsidR="008C50DE" w:rsidRPr="00414982">
        <w:rPr>
          <w:rFonts w:asciiTheme="majorHAnsi" w:hAnsiTheme="majorHAnsi" w:cs="Arial"/>
          <w:i/>
          <w:lang w:val="es-PR"/>
        </w:rPr>
        <w:t>Water</w:t>
      </w:r>
      <w:proofErr w:type="spellEnd"/>
      <w:r w:rsidR="008C50DE" w:rsidRPr="00414982">
        <w:rPr>
          <w:rFonts w:asciiTheme="majorHAnsi" w:hAnsiTheme="majorHAnsi" w:cs="Arial"/>
          <w:i/>
          <w:lang w:val="es-PR"/>
        </w:rPr>
        <w:t xml:space="preserve"> </w:t>
      </w:r>
      <w:proofErr w:type="spellStart"/>
      <w:r w:rsidR="008C50DE" w:rsidRPr="00414982">
        <w:rPr>
          <w:rFonts w:asciiTheme="majorHAnsi" w:hAnsiTheme="majorHAnsi" w:cs="Arial"/>
          <w:i/>
          <w:lang w:val="es-PR"/>
        </w:rPr>
        <w:t>P</w:t>
      </w:r>
      <w:r w:rsidR="007D0BF3" w:rsidRPr="00414982">
        <w:rPr>
          <w:rFonts w:asciiTheme="majorHAnsi" w:hAnsiTheme="majorHAnsi" w:cs="Arial"/>
          <w:i/>
          <w:lang w:val="es-PR"/>
        </w:rPr>
        <w:t>ollution</w:t>
      </w:r>
      <w:proofErr w:type="spellEnd"/>
      <w:r w:rsidR="007D0BF3" w:rsidRPr="00414982">
        <w:rPr>
          <w:rFonts w:asciiTheme="majorHAnsi" w:hAnsiTheme="majorHAnsi" w:cs="Arial"/>
          <w:i/>
          <w:lang w:val="es-PR"/>
        </w:rPr>
        <w:t xml:space="preserve"> Control </w:t>
      </w:r>
      <w:proofErr w:type="spellStart"/>
      <w:r w:rsidR="007D0BF3" w:rsidRPr="00414982">
        <w:rPr>
          <w:rFonts w:asciiTheme="majorHAnsi" w:hAnsiTheme="majorHAnsi" w:cs="Arial"/>
          <w:i/>
          <w:lang w:val="es-PR"/>
        </w:rPr>
        <w:t>Revolving</w:t>
      </w:r>
      <w:proofErr w:type="spellEnd"/>
      <w:r w:rsidR="007D0BF3" w:rsidRPr="00414982">
        <w:rPr>
          <w:rFonts w:asciiTheme="majorHAnsi" w:hAnsiTheme="majorHAnsi" w:cs="Arial"/>
          <w:i/>
          <w:lang w:val="es-PR"/>
        </w:rPr>
        <w:t xml:space="preserve"> </w:t>
      </w:r>
      <w:proofErr w:type="spellStart"/>
      <w:r w:rsidR="007D0BF3" w:rsidRPr="00414982">
        <w:rPr>
          <w:rFonts w:asciiTheme="majorHAnsi" w:hAnsiTheme="majorHAnsi" w:cs="Arial"/>
          <w:i/>
          <w:lang w:val="es-PR"/>
        </w:rPr>
        <w:t>Fund</w:t>
      </w:r>
      <w:proofErr w:type="spellEnd"/>
      <w:r w:rsidR="00DB7DC6" w:rsidRPr="00414982">
        <w:rPr>
          <w:rFonts w:asciiTheme="majorHAnsi" w:hAnsiTheme="majorHAnsi" w:cs="Arial"/>
          <w:lang w:val="es-PR"/>
        </w:rPr>
        <w:t>.  Bajo los FRE</w:t>
      </w:r>
      <w:r w:rsidR="007D0BF3" w:rsidRPr="00414982">
        <w:rPr>
          <w:rFonts w:asciiTheme="majorHAnsi" w:hAnsiTheme="majorHAnsi" w:cs="Arial"/>
          <w:lang w:val="es-PR"/>
        </w:rPr>
        <w:t>,</w:t>
      </w:r>
      <w:r w:rsidR="00DB7DC6" w:rsidRPr="00414982">
        <w:rPr>
          <w:rFonts w:asciiTheme="majorHAnsi" w:hAnsiTheme="majorHAnsi" w:cs="Arial"/>
          <w:lang w:val="es-PR"/>
        </w:rPr>
        <w:t xml:space="preserve"> se otorgan fondos en calidad de préstamo y de donativo para el desarrollo de proyectos de infraestructura de agua (tanto de agua potable como sanitaria). En Puerto Rico, la Autoridad de Acueductos y Alcantarillados (AAA) es el principal beneficiario de esta fuente federal de financiamiento y la Autoridad para el Financiamiento de la Infraestructura de Puerto Rico </w:t>
      </w:r>
      <w:r w:rsidR="007D0BF3" w:rsidRPr="00414982">
        <w:rPr>
          <w:rFonts w:asciiTheme="majorHAnsi" w:hAnsiTheme="majorHAnsi" w:cs="Arial"/>
          <w:lang w:val="es-PR"/>
        </w:rPr>
        <w:t xml:space="preserve">(AFI) </w:t>
      </w:r>
      <w:r w:rsidR="00DB7DC6" w:rsidRPr="00414982">
        <w:rPr>
          <w:rFonts w:asciiTheme="majorHAnsi" w:hAnsiTheme="majorHAnsi" w:cs="Arial"/>
          <w:lang w:val="es-PR"/>
        </w:rPr>
        <w:t>realiza las funciones de administrador financiero.</w:t>
      </w:r>
    </w:p>
    <w:p w14:paraId="5C65869D" w14:textId="77777777" w:rsidR="00DB7DC6" w:rsidRPr="00414982" w:rsidRDefault="00DB7DC6" w:rsidP="00DB7DC6">
      <w:pPr>
        <w:pStyle w:val="NoSpacing"/>
        <w:spacing w:line="276" w:lineRule="auto"/>
        <w:ind w:right="50"/>
        <w:rPr>
          <w:rFonts w:asciiTheme="majorHAnsi" w:hAnsiTheme="majorHAnsi" w:cs="Arial"/>
          <w:b/>
          <w:sz w:val="24"/>
          <w:szCs w:val="24"/>
          <w:lang w:val="es-PR"/>
        </w:rPr>
      </w:pPr>
    </w:p>
    <w:p w14:paraId="17E64FF2" w14:textId="40729D49" w:rsidR="008D5571" w:rsidRPr="00414982" w:rsidRDefault="009000BA" w:rsidP="008D5571">
      <w:pPr>
        <w:pStyle w:val="ListParagraph"/>
        <w:numPr>
          <w:ilvl w:val="0"/>
          <w:numId w:val="3"/>
        </w:numPr>
        <w:rPr>
          <w:rFonts w:asciiTheme="majorHAnsi" w:hAnsiTheme="majorHAnsi" w:cs="Arial"/>
          <w:sz w:val="24"/>
          <w:szCs w:val="24"/>
        </w:rPr>
      </w:pPr>
      <w:r w:rsidRPr="00414982">
        <w:rPr>
          <w:rFonts w:asciiTheme="majorHAnsi" w:hAnsiTheme="majorHAnsi" w:cs="Arial"/>
          <w:sz w:val="24"/>
          <w:szCs w:val="24"/>
        </w:rPr>
        <w:t>Agencia Fiscal</w:t>
      </w:r>
    </w:p>
    <w:p w14:paraId="63CBDBF4" w14:textId="53FA0943" w:rsidR="008D5571" w:rsidRPr="00414982" w:rsidRDefault="00F965C5" w:rsidP="007D0BF3">
      <w:pPr>
        <w:jc w:val="both"/>
        <w:rPr>
          <w:rFonts w:asciiTheme="majorHAnsi" w:hAnsiTheme="majorHAnsi" w:cs="Arial"/>
          <w:szCs w:val="24"/>
          <w:lang w:val="es-ES_tradnl"/>
        </w:rPr>
      </w:pPr>
      <w:r w:rsidRPr="00414982">
        <w:rPr>
          <w:rFonts w:asciiTheme="majorHAnsi" w:hAnsiTheme="majorHAnsi" w:cs="Arial"/>
          <w:szCs w:val="24"/>
          <w:lang w:val="es-ES_tradnl"/>
        </w:rPr>
        <w:t>El Área de Agencia Fiscal de la AAFAF</w:t>
      </w:r>
      <w:r w:rsidR="008D5571" w:rsidRPr="00414982">
        <w:rPr>
          <w:rFonts w:asciiTheme="majorHAnsi" w:hAnsiTheme="majorHAnsi" w:cs="Arial"/>
          <w:szCs w:val="24"/>
          <w:lang w:val="es-ES_tradnl"/>
        </w:rPr>
        <w:t xml:space="preserve"> tiene el rol de monitorear las finanzas de </w:t>
      </w:r>
      <w:r w:rsidR="00915414" w:rsidRPr="00414982">
        <w:rPr>
          <w:rFonts w:asciiTheme="majorHAnsi" w:hAnsiTheme="majorHAnsi" w:cs="Arial"/>
          <w:szCs w:val="24"/>
          <w:lang w:val="es-ES_tradnl"/>
        </w:rPr>
        <w:t xml:space="preserve">todas las entidades gubernamentales, incluyendo las agencias, </w:t>
      </w:r>
      <w:proofErr w:type="spellStart"/>
      <w:r w:rsidR="00915414" w:rsidRPr="00414982">
        <w:rPr>
          <w:rFonts w:asciiTheme="majorHAnsi" w:hAnsiTheme="majorHAnsi" w:cs="Arial"/>
          <w:szCs w:val="24"/>
          <w:lang w:val="es-ES_tradnl"/>
        </w:rPr>
        <w:t>instrumentalidades</w:t>
      </w:r>
      <w:proofErr w:type="spellEnd"/>
      <w:r w:rsidR="00915414" w:rsidRPr="00414982">
        <w:rPr>
          <w:rFonts w:asciiTheme="majorHAnsi" w:hAnsiTheme="majorHAnsi" w:cs="Arial"/>
          <w:szCs w:val="24"/>
          <w:lang w:val="es-ES_tradnl"/>
        </w:rPr>
        <w:t xml:space="preserve">, corporaciones públicas y municipios, especialmente aquellas </w:t>
      </w:r>
      <w:r w:rsidR="008D5571" w:rsidRPr="00414982">
        <w:rPr>
          <w:rFonts w:asciiTheme="majorHAnsi" w:hAnsiTheme="majorHAnsi" w:cs="Arial"/>
          <w:szCs w:val="24"/>
          <w:lang w:val="es-ES_tradnl"/>
        </w:rPr>
        <w:t xml:space="preserve"> unidades suscritas bajo contrato.  Los</w:t>
      </w:r>
      <w:r w:rsidRPr="00414982">
        <w:rPr>
          <w:rFonts w:asciiTheme="majorHAnsi" w:hAnsiTheme="majorHAnsi" w:cs="Arial"/>
          <w:szCs w:val="24"/>
          <w:lang w:val="es-ES_tradnl"/>
        </w:rPr>
        <w:t xml:space="preserve"> contratos  son conocidos como </w:t>
      </w:r>
      <w:r w:rsidRPr="00414982">
        <w:rPr>
          <w:rFonts w:asciiTheme="majorHAnsi" w:hAnsiTheme="majorHAnsi" w:cs="Arial"/>
          <w:i/>
          <w:szCs w:val="24"/>
          <w:lang w:val="es-ES_tradnl"/>
        </w:rPr>
        <w:t xml:space="preserve">Fiscal </w:t>
      </w:r>
      <w:proofErr w:type="spellStart"/>
      <w:r w:rsidRPr="00414982">
        <w:rPr>
          <w:rFonts w:asciiTheme="majorHAnsi" w:hAnsiTheme="majorHAnsi" w:cs="Arial"/>
          <w:i/>
          <w:szCs w:val="24"/>
          <w:lang w:val="es-ES_tradnl"/>
        </w:rPr>
        <w:t>Oversight</w:t>
      </w:r>
      <w:proofErr w:type="spellEnd"/>
      <w:r w:rsidRPr="00414982">
        <w:rPr>
          <w:rFonts w:asciiTheme="majorHAnsi" w:hAnsiTheme="majorHAnsi" w:cs="Arial"/>
          <w:i/>
          <w:szCs w:val="24"/>
          <w:lang w:val="es-ES_tradnl"/>
        </w:rPr>
        <w:t xml:space="preserve"> </w:t>
      </w:r>
      <w:proofErr w:type="spellStart"/>
      <w:r w:rsidRPr="00414982">
        <w:rPr>
          <w:rFonts w:asciiTheme="majorHAnsi" w:hAnsiTheme="majorHAnsi" w:cs="Arial"/>
          <w:i/>
          <w:szCs w:val="24"/>
          <w:lang w:val="es-ES_tradnl"/>
        </w:rPr>
        <w:t>Agreement</w:t>
      </w:r>
      <w:proofErr w:type="spellEnd"/>
      <w:r w:rsidR="008D5571" w:rsidRPr="00414982">
        <w:rPr>
          <w:rFonts w:asciiTheme="majorHAnsi" w:hAnsiTheme="majorHAnsi" w:cs="Arial"/>
          <w:i/>
          <w:szCs w:val="24"/>
          <w:lang w:val="es-ES_tradnl"/>
        </w:rPr>
        <w:t xml:space="preserve"> (FOA)</w:t>
      </w:r>
      <w:r w:rsidR="008D5571" w:rsidRPr="00414982">
        <w:rPr>
          <w:rFonts w:asciiTheme="majorHAnsi" w:hAnsiTheme="majorHAnsi" w:cs="Arial"/>
          <w:szCs w:val="24"/>
          <w:lang w:val="es-ES_tradnl"/>
        </w:rPr>
        <w:t xml:space="preserve"> y </w:t>
      </w:r>
      <w:proofErr w:type="spellStart"/>
      <w:r w:rsidR="008D5571" w:rsidRPr="00414982">
        <w:rPr>
          <w:rFonts w:asciiTheme="majorHAnsi" w:hAnsiTheme="majorHAnsi" w:cs="Arial"/>
          <w:i/>
          <w:szCs w:val="24"/>
          <w:lang w:val="es-ES_tradnl"/>
        </w:rPr>
        <w:t>Cooperation</w:t>
      </w:r>
      <w:proofErr w:type="spellEnd"/>
      <w:r w:rsidR="008D5571" w:rsidRPr="00414982">
        <w:rPr>
          <w:rFonts w:asciiTheme="majorHAnsi" w:hAnsiTheme="majorHAnsi" w:cs="Arial"/>
          <w:i/>
          <w:szCs w:val="24"/>
          <w:lang w:val="es-ES_tradnl"/>
        </w:rPr>
        <w:t xml:space="preserve"> and </w:t>
      </w:r>
      <w:proofErr w:type="spellStart"/>
      <w:r w:rsidR="008D5571" w:rsidRPr="00414982">
        <w:rPr>
          <w:rFonts w:asciiTheme="majorHAnsi" w:hAnsiTheme="majorHAnsi" w:cs="Arial"/>
          <w:i/>
          <w:szCs w:val="24"/>
          <w:lang w:val="es-ES_tradnl"/>
        </w:rPr>
        <w:t>Financial</w:t>
      </w:r>
      <w:proofErr w:type="spellEnd"/>
      <w:r w:rsidR="008D5571" w:rsidRPr="00414982">
        <w:rPr>
          <w:rFonts w:asciiTheme="majorHAnsi" w:hAnsiTheme="majorHAnsi" w:cs="Arial"/>
          <w:i/>
          <w:szCs w:val="24"/>
          <w:lang w:val="es-ES_tradnl"/>
        </w:rPr>
        <w:t xml:space="preserve"> </w:t>
      </w:r>
      <w:proofErr w:type="spellStart"/>
      <w:r w:rsidR="008D5571" w:rsidRPr="00414982">
        <w:rPr>
          <w:rFonts w:asciiTheme="majorHAnsi" w:hAnsiTheme="majorHAnsi" w:cs="Arial"/>
          <w:i/>
          <w:szCs w:val="24"/>
          <w:lang w:val="es-ES_tradnl"/>
        </w:rPr>
        <w:t>Reporting</w:t>
      </w:r>
      <w:proofErr w:type="spellEnd"/>
      <w:r w:rsidR="008D5571" w:rsidRPr="00414982">
        <w:rPr>
          <w:rFonts w:asciiTheme="majorHAnsi" w:hAnsiTheme="majorHAnsi" w:cs="Arial"/>
          <w:i/>
          <w:szCs w:val="24"/>
          <w:lang w:val="es-ES_tradnl"/>
        </w:rPr>
        <w:t xml:space="preserve"> </w:t>
      </w:r>
      <w:proofErr w:type="spellStart"/>
      <w:r w:rsidR="008D5571" w:rsidRPr="00414982">
        <w:rPr>
          <w:rFonts w:asciiTheme="majorHAnsi" w:hAnsiTheme="majorHAnsi" w:cs="Arial"/>
          <w:i/>
          <w:szCs w:val="24"/>
          <w:lang w:val="es-ES_tradnl"/>
        </w:rPr>
        <w:t>Agreement</w:t>
      </w:r>
      <w:proofErr w:type="spellEnd"/>
      <w:r w:rsidR="008D5571" w:rsidRPr="00414982">
        <w:rPr>
          <w:rFonts w:asciiTheme="majorHAnsi" w:hAnsiTheme="majorHAnsi" w:cs="Arial"/>
          <w:szCs w:val="24"/>
          <w:lang w:val="es-ES_tradnl"/>
        </w:rPr>
        <w:t xml:space="preserve"> (COFRA). Los FOA </w:t>
      </w:r>
      <w:r w:rsidR="006C7ACA" w:rsidRPr="00414982">
        <w:rPr>
          <w:rFonts w:asciiTheme="majorHAnsi" w:hAnsiTheme="majorHAnsi" w:cs="Arial"/>
          <w:szCs w:val="24"/>
          <w:lang w:val="es-ES_tradnl"/>
        </w:rPr>
        <w:t xml:space="preserve">y los COFRA </w:t>
      </w:r>
      <w:r w:rsidR="008D5571" w:rsidRPr="00414982">
        <w:rPr>
          <w:rFonts w:asciiTheme="majorHAnsi" w:hAnsiTheme="majorHAnsi" w:cs="Arial"/>
          <w:szCs w:val="24"/>
          <w:lang w:val="es-ES_tradnl"/>
        </w:rPr>
        <w:t>son acuerdos voluntarios y accesorios a la obligación principal que tiene cada ent</w:t>
      </w:r>
      <w:r w:rsidR="007D0BF3" w:rsidRPr="00414982">
        <w:rPr>
          <w:rFonts w:asciiTheme="majorHAnsi" w:hAnsiTheme="majorHAnsi" w:cs="Arial"/>
          <w:szCs w:val="24"/>
          <w:lang w:val="es-ES_tradnl"/>
        </w:rPr>
        <w:t xml:space="preserve">idad o </w:t>
      </w:r>
      <w:proofErr w:type="spellStart"/>
      <w:r w:rsidR="007D0BF3" w:rsidRPr="00414982">
        <w:rPr>
          <w:rFonts w:asciiTheme="majorHAnsi" w:hAnsiTheme="majorHAnsi" w:cs="Arial"/>
          <w:szCs w:val="24"/>
          <w:lang w:val="es-ES_tradnl"/>
        </w:rPr>
        <w:t>instrumentalidad</w:t>
      </w:r>
      <w:proofErr w:type="spellEnd"/>
      <w:r w:rsidR="007D0BF3" w:rsidRPr="00414982">
        <w:rPr>
          <w:rFonts w:asciiTheme="majorHAnsi" w:hAnsiTheme="majorHAnsi" w:cs="Arial"/>
          <w:szCs w:val="24"/>
          <w:lang w:val="es-ES_tradnl"/>
        </w:rPr>
        <w:t xml:space="preserve"> deudora</w:t>
      </w:r>
      <w:r w:rsidR="008D5571" w:rsidRPr="00414982">
        <w:rPr>
          <w:rFonts w:asciiTheme="majorHAnsi" w:hAnsiTheme="majorHAnsi" w:cs="Arial"/>
          <w:szCs w:val="24"/>
          <w:lang w:val="es-ES_tradnl"/>
        </w:rPr>
        <w:t xml:space="preserve"> con el BGF.  El propós</w:t>
      </w:r>
      <w:r w:rsidR="007D0BF3" w:rsidRPr="00414982">
        <w:rPr>
          <w:rFonts w:asciiTheme="majorHAnsi" w:hAnsiTheme="majorHAnsi" w:cs="Arial"/>
          <w:szCs w:val="24"/>
          <w:lang w:val="es-ES_tradnl"/>
        </w:rPr>
        <w:t>ito principal de estos acuerdos</w:t>
      </w:r>
      <w:r w:rsidR="008D5571" w:rsidRPr="00414982">
        <w:rPr>
          <w:rFonts w:asciiTheme="majorHAnsi" w:hAnsiTheme="majorHAnsi" w:cs="Arial"/>
          <w:szCs w:val="24"/>
          <w:lang w:val="es-ES_tradnl"/>
        </w:rPr>
        <w:t xml:space="preserve"> es establecer procedimientos de monitoreo y s</w:t>
      </w:r>
      <w:r w:rsidRPr="00414982">
        <w:rPr>
          <w:rFonts w:asciiTheme="majorHAnsi" w:hAnsiTheme="majorHAnsi" w:cs="Arial"/>
          <w:szCs w:val="24"/>
          <w:lang w:val="es-ES_tradnl"/>
        </w:rPr>
        <w:t>eguimiento fiscal que permita</w:t>
      </w:r>
      <w:r w:rsidR="008D5571" w:rsidRPr="00414982">
        <w:rPr>
          <w:rFonts w:asciiTheme="majorHAnsi" w:hAnsiTheme="majorHAnsi" w:cs="Arial"/>
          <w:szCs w:val="24"/>
          <w:lang w:val="es-ES_tradnl"/>
        </w:rPr>
        <w:t xml:space="preserve"> una visión más profunda de las operaciones de la entidad deudora.  Agencia Fiscal es responsable del cumplimiento con estos acuerdos y de </w:t>
      </w:r>
      <w:r w:rsidRPr="00414982">
        <w:rPr>
          <w:rFonts w:asciiTheme="majorHAnsi" w:hAnsiTheme="majorHAnsi" w:cs="Arial"/>
          <w:szCs w:val="24"/>
          <w:lang w:val="es-ES_tradnl"/>
        </w:rPr>
        <w:t>proveer apoyo, según requerido, a lo</w:t>
      </w:r>
      <w:r w:rsidR="008D5571" w:rsidRPr="00414982">
        <w:rPr>
          <w:rFonts w:asciiTheme="majorHAnsi" w:hAnsiTheme="majorHAnsi" w:cs="Arial"/>
          <w:szCs w:val="24"/>
          <w:lang w:val="es-ES_tradnl"/>
        </w:rPr>
        <w:t>s diferentes componentes del ELA.</w:t>
      </w:r>
    </w:p>
    <w:p w14:paraId="1EA3ED45" w14:textId="77777777" w:rsidR="00F965C5" w:rsidRPr="00414982" w:rsidRDefault="00F965C5" w:rsidP="008D5571">
      <w:pPr>
        <w:jc w:val="both"/>
        <w:rPr>
          <w:rFonts w:asciiTheme="majorHAnsi" w:hAnsiTheme="majorHAnsi" w:cs="Arial"/>
          <w:szCs w:val="24"/>
          <w:lang w:val="es-ES_tradnl"/>
        </w:rPr>
      </w:pPr>
    </w:p>
    <w:p w14:paraId="129834D7" w14:textId="0950C4FB" w:rsidR="008D5571" w:rsidRPr="00414982" w:rsidRDefault="00F965C5" w:rsidP="008D5571">
      <w:pPr>
        <w:jc w:val="both"/>
        <w:rPr>
          <w:rFonts w:asciiTheme="majorHAnsi" w:hAnsiTheme="majorHAnsi" w:cs="Arial"/>
          <w:szCs w:val="24"/>
          <w:lang w:val="es-ES_tradnl"/>
        </w:rPr>
      </w:pPr>
      <w:r w:rsidRPr="00414982">
        <w:rPr>
          <w:rFonts w:asciiTheme="majorHAnsi" w:hAnsiTheme="majorHAnsi" w:cs="Arial"/>
          <w:szCs w:val="24"/>
          <w:lang w:val="es-ES_tradnl"/>
        </w:rPr>
        <w:t>Igualmente,</w:t>
      </w:r>
      <w:r w:rsidR="008D5571" w:rsidRPr="00414982">
        <w:rPr>
          <w:rFonts w:asciiTheme="majorHAnsi" w:hAnsiTheme="majorHAnsi" w:cs="Arial"/>
          <w:szCs w:val="24"/>
          <w:lang w:val="es-ES_tradnl"/>
        </w:rPr>
        <w:t xml:space="preserve"> el Área de Agencia Fiscal </w:t>
      </w:r>
      <w:r w:rsidR="00915414" w:rsidRPr="00414982">
        <w:rPr>
          <w:rFonts w:asciiTheme="majorHAnsi" w:hAnsiTheme="majorHAnsi" w:cs="Arial"/>
          <w:szCs w:val="24"/>
          <w:lang w:val="es-ES_tradnl"/>
        </w:rPr>
        <w:t>se encarga</w:t>
      </w:r>
      <w:r w:rsidRPr="00414982">
        <w:rPr>
          <w:rFonts w:asciiTheme="majorHAnsi" w:hAnsiTheme="majorHAnsi" w:cs="Arial"/>
          <w:szCs w:val="24"/>
          <w:lang w:val="es-ES_tradnl"/>
        </w:rPr>
        <w:t xml:space="preserve"> de</w:t>
      </w:r>
      <w:r w:rsidR="008D5571" w:rsidRPr="00414982">
        <w:rPr>
          <w:rFonts w:asciiTheme="majorHAnsi" w:hAnsiTheme="majorHAnsi" w:cs="Arial"/>
          <w:szCs w:val="24"/>
          <w:lang w:val="es-ES_tradnl"/>
        </w:rPr>
        <w:t xml:space="preserve"> la divulgación de cierta información financiera a reguladores y entid</w:t>
      </w:r>
      <w:r w:rsidR="007D0BF3" w:rsidRPr="00414982">
        <w:rPr>
          <w:rFonts w:asciiTheme="majorHAnsi" w:hAnsiTheme="majorHAnsi" w:cs="Arial"/>
          <w:szCs w:val="24"/>
          <w:lang w:val="es-ES_tradnl"/>
        </w:rPr>
        <w:t>ades de los mercados de capital,</w:t>
      </w:r>
      <w:r w:rsidR="008D5571" w:rsidRPr="00414982">
        <w:rPr>
          <w:rFonts w:asciiTheme="majorHAnsi" w:hAnsiTheme="majorHAnsi" w:cs="Arial"/>
          <w:szCs w:val="24"/>
          <w:lang w:val="es-ES_tradnl"/>
        </w:rPr>
        <w:t xml:space="preserve"> y </w:t>
      </w:r>
      <w:r w:rsidRPr="00414982">
        <w:rPr>
          <w:rFonts w:asciiTheme="majorHAnsi" w:hAnsiTheme="majorHAnsi" w:cs="Arial"/>
          <w:szCs w:val="24"/>
          <w:lang w:val="es-ES_tradnl"/>
        </w:rPr>
        <w:t xml:space="preserve">de </w:t>
      </w:r>
      <w:r w:rsidR="008D5571" w:rsidRPr="00414982">
        <w:rPr>
          <w:rFonts w:asciiTheme="majorHAnsi" w:hAnsiTheme="majorHAnsi" w:cs="Arial"/>
          <w:szCs w:val="24"/>
          <w:lang w:val="es-ES_tradnl"/>
        </w:rPr>
        <w:t>la producción de data financiera y sobre la economía de Puerto Rico y Est</w:t>
      </w:r>
      <w:r w:rsidR="007D0BF3" w:rsidRPr="00414982">
        <w:rPr>
          <w:rFonts w:asciiTheme="majorHAnsi" w:hAnsiTheme="majorHAnsi" w:cs="Arial"/>
          <w:szCs w:val="24"/>
          <w:lang w:val="es-ES_tradnl"/>
        </w:rPr>
        <w:t>ados Unidos. Además,</w:t>
      </w:r>
      <w:r w:rsidR="008D5571" w:rsidRPr="00414982">
        <w:rPr>
          <w:rFonts w:asciiTheme="majorHAnsi" w:hAnsiTheme="majorHAnsi" w:cs="Arial"/>
          <w:szCs w:val="24"/>
          <w:lang w:val="es-ES_tradnl"/>
        </w:rPr>
        <w:t xml:space="preserve"> provee apoyo y asesoría a diferentes entidades </w:t>
      </w:r>
      <w:r w:rsidR="00915414" w:rsidRPr="00414982">
        <w:rPr>
          <w:rFonts w:asciiTheme="majorHAnsi" w:hAnsiTheme="majorHAnsi" w:cs="Arial"/>
          <w:szCs w:val="24"/>
          <w:lang w:val="es-ES_tradnl"/>
        </w:rPr>
        <w:t xml:space="preserve">en el manejo e implementación de </w:t>
      </w:r>
      <w:r w:rsidR="008D5571" w:rsidRPr="00414982">
        <w:rPr>
          <w:rFonts w:asciiTheme="majorHAnsi" w:hAnsiTheme="majorHAnsi" w:cs="Arial"/>
          <w:szCs w:val="24"/>
          <w:lang w:val="es-ES_tradnl"/>
        </w:rPr>
        <w:t xml:space="preserve">proyectos estratégicos </w:t>
      </w:r>
      <w:r w:rsidR="00915414" w:rsidRPr="00414982">
        <w:rPr>
          <w:rFonts w:asciiTheme="majorHAnsi" w:hAnsiTheme="majorHAnsi" w:cs="Arial"/>
          <w:szCs w:val="24"/>
          <w:lang w:val="es-ES_tradnl"/>
        </w:rPr>
        <w:t>relacionados con, entre otros,</w:t>
      </w:r>
      <w:r w:rsidR="008D5571" w:rsidRPr="00414982">
        <w:rPr>
          <w:rFonts w:asciiTheme="majorHAnsi" w:hAnsiTheme="majorHAnsi" w:cs="Arial"/>
          <w:szCs w:val="24"/>
          <w:lang w:val="es-ES_tradnl"/>
        </w:rPr>
        <w:t xml:space="preserve"> manejo de liquidez, prod</w:t>
      </w:r>
      <w:r w:rsidR="007D0BF3" w:rsidRPr="00414982">
        <w:rPr>
          <w:rFonts w:asciiTheme="majorHAnsi" w:hAnsiTheme="majorHAnsi" w:cs="Arial"/>
          <w:szCs w:val="24"/>
          <w:lang w:val="es-ES_tradnl"/>
        </w:rPr>
        <w:t>ucción de información y auditorí</w:t>
      </w:r>
      <w:r w:rsidR="008D5571" w:rsidRPr="00414982">
        <w:rPr>
          <w:rFonts w:asciiTheme="majorHAnsi" w:hAnsiTheme="majorHAnsi" w:cs="Arial"/>
          <w:szCs w:val="24"/>
          <w:lang w:val="es-ES_tradnl"/>
        </w:rPr>
        <w:t xml:space="preserve">as de estados financieros. El rol de Agencia Fiscal es crítico para el manejo de información financiera y para asegurar el cumplimiento con el informe anual del Estado Libre Asociado de Puerto Rico. </w:t>
      </w:r>
      <w:r w:rsidR="00915414" w:rsidRPr="00414982">
        <w:rPr>
          <w:rFonts w:asciiTheme="majorHAnsi" w:hAnsiTheme="majorHAnsi" w:cs="Arial"/>
          <w:szCs w:val="24"/>
          <w:lang w:val="es-ES_tradnl"/>
        </w:rPr>
        <w:t xml:space="preserve">Para manejar todos los asuntos anteriormente expuestos, la división de Agencia Fiscal cuenta a su vez con la División de Fiscalización y Cumplimiento y con la División de </w:t>
      </w:r>
      <w:r w:rsidR="00D37644" w:rsidRPr="00414982">
        <w:rPr>
          <w:rFonts w:asciiTheme="majorHAnsi" w:hAnsiTheme="majorHAnsi" w:cs="Arial"/>
          <w:szCs w:val="24"/>
          <w:lang w:val="es-ES_tradnl"/>
        </w:rPr>
        <w:t>Análisis Económico.</w:t>
      </w:r>
    </w:p>
    <w:p w14:paraId="3A422F06" w14:textId="77777777" w:rsidR="006C7ACA" w:rsidRPr="00414982" w:rsidRDefault="006C7ACA" w:rsidP="008D5571">
      <w:pPr>
        <w:jc w:val="both"/>
        <w:rPr>
          <w:rFonts w:asciiTheme="majorHAnsi" w:hAnsiTheme="majorHAnsi" w:cs="Arial"/>
          <w:szCs w:val="24"/>
          <w:lang w:val="es-ES_tradnl"/>
        </w:rPr>
      </w:pPr>
    </w:p>
    <w:p w14:paraId="7026527E" w14:textId="17F41BEE" w:rsidR="000E6B41" w:rsidRPr="00414982" w:rsidRDefault="00D37644" w:rsidP="009000BA">
      <w:pPr>
        <w:pStyle w:val="ListParagraph"/>
        <w:numPr>
          <w:ilvl w:val="0"/>
          <w:numId w:val="2"/>
        </w:numPr>
        <w:jc w:val="both"/>
        <w:rPr>
          <w:rFonts w:asciiTheme="majorHAnsi" w:hAnsiTheme="majorHAnsi" w:cs="Arial"/>
          <w:b/>
          <w:sz w:val="24"/>
          <w:szCs w:val="24"/>
        </w:rPr>
      </w:pPr>
      <w:r w:rsidRPr="00414982">
        <w:rPr>
          <w:rFonts w:asciiTheme="majorHAnsi" w:hAnsiTheme="majorHAnsi" w:cs="Arial"/>
          <w:b/>
          <w:sz w:val="24"/>
          <w:szCs w:val="24"/>
        </w:rPr>
        <w:t xml:space="preserve">PROMESA, Junta de Supervisión Fiscal y Plan </w:t>
      </w:r>
      <w:r w:rsidR="001E637D" w:rsidRPr="00414982">
        <w:rPr>
          <w:rFonts w:asciiTheme="majorHAnsi" w:hAnsiTheme="majorHAnsi" w:cs="Arial"/>
          <w:b/>
          <w:sz w:val="24"/>
          <w:szCs w:val="24"/>
        </w:rPr>
        <w:t xml:space="preserve">Fiscal y </w:t>
      </w:r>
      <w:r w:rsidRPr="00414982">
        <w:rPr>
          <w:rFonts w:asciiTheme="majorHAnsi" w:hAnsiTheme="majorHAnsi" w:cs="Arial"/>
          <w:b/>
          <w:sz w:val="24"/>
          <w:szCs w:val="24"/>
        </w:rPr>
        <w:t>de Crecimiento Económico (“FEGP”</w:t>
      </w:r>
      <w:r w:rsidR="0060529C" w:rsidRPr="00414982">
        <w:rPr>
          <w:rFonts w:asciiTheme="majorHAnsi" w:hAnsiTheme="majorHAnsi" w:cs="Arial"/>
          <w:b/>
          <w:sz w:val="24"/>
          <w:szCs w:val="24"/>
        </w:rPr>
        <w:t xml:space="preserve"> por sus siglas en ingles).</w:t>
      </w:r>
    </w:p>
    <w:p w14:paraId="67D60BB1" w14:textId="123E53C8" w:rsidR="009000BA" w:rsidRPr="00414982" w:rsidRDefault="000E6B41" w:rsidP="009000BA">
      <w:pPr>
        <w:jc w:val="both"/>
        <w:rPr>
          <w:rFonts w:asciiTheme="majorHAnsi" w:eastAsia="Trebuchet MS" w:hAnsiTheme="majorHAnsi" w:cs="Arial"/>
          <w:szCs w:val="24"/>
          <w:lang w:val="es-ES_tradnl"/>
        </w:rPr>
      </w:pPr>
      <w:r w:rsidRPr="00414982">
        <w:rPr>
          <w:rFonts w:asciiTheme="majorHAnsi" w:eastAsia="Trebuchet MS" w:hAnsiTheme="majorHAnsi" w:cs="Arial"/>
          <w:szCs w:val="24"/>
          <w:lang w:val="es-ES_tradnl"/>
        </w:rPr>
        <w:t>El 30 de junio de 2016, el Congreso de los Estados Unidos promulgó la l</w:t>
      </w:r>
      <w:r w:rsidR="00643903" w:rsidRPr="00414982">
        <w:rPr>
          <w:rFonts w:asciiTheme="majorHAnsi" w:eastAsia="Trebuchet MS" w:hAnsiTheme="majorHAnsi" w:cs="Arial"/>
          <w:szCs w:val="24"/>
          <w:lang w:val="es-ES_tradnl"/>
        </w:rPr>
        <w:t>ey PROMESA la cual, entre otros</w:t>
      </w:r>
      <w:r w:rsidR="00446617" w:rsidRPr="00414982">
        <w:rPr>
          <w:rFonts w:asciiTheme="majorHAnsi" w:eastAsia="Trebuchet MS" w:hAnsiTheme="majorHAnsi" w:cs="Arial"/>
          <w:szCs w:val="24"/>
          <w:lang w:val="es-ES_tradnl"/>
        </w:rPr>
        <w:t>, estableció</w:t>
      </w:r>
      <w:r w:rsidR="00643903" w:rsidRPr="00414982">
        <w:rPr>
          <w:rFonts w:asciiTheme="majorHAnsi" w:eastAsia="Trebuchet MS" w:hAnsiTheme="majorHAnsi" w:cs="Arial"/>
          <w:szCs w:val="24"/>
          <w:lang w:val="es-ES_tradnl"/>
        </w:rPr>
        <w:t>:</w:t>
      </w:r>
      <w:r w:rsidRPr="00414982">
        <w:rPr>
          <w:rFonts w:asciiTheme="majorHAnsi" w:eastAsia="Trebuchet MS" w:hAnsiTheme="majorHAnsi" w:cs="Arial"/>
          <w:szCs w:val="24"/>
          <w:lang w:val="es-ES_tradnl"/>
        </w:rPr>
        <w:t xml:space="preserve"> </w:t>
      </w:r>
      <w:r w:rsidR="00643903" w:rsidRPr="00414982">
        <w:rPr>
          <w:rFonts w:asciiTheme="majorHAnsi" w:eastAsia="Trebuchet MS" w:hAnsiTheme="majorHAnsi" w:cs="Arial"/>
          <w:szCs w:val="24"/>
          <w:lang w:val="es-ES_tradnl"/>
        </w:rPr>
        <w:t xml:space="preserve">1) </w:t>
      </w:r>
      <w:r w:rsidRPr="00414982">
        <w:rPr>
          <w:rFonts w:asciiTheme="majorHAnsi" w:eastAsia="Trebuchet MS" w:hAnsiTheme="majorHAnsi" w:cs="Arial"/>
          <w:szCs w:val="24"/>
          <w:lang w:val="es-ES_tradnl"/>
        </w:rPr>
        <w:t xml:space="preserve"> una Junta de Super</w:t>
      </w:r>
      <w:r w:rsidR="00643903" w:rsidRPr="00414982">
        <w:rPr>
          <w:rFonts w:asciiTheme="majorHAnsi" w:eastAsia="Trebuchet MS" w:hAnsiTheme="majorHAnsi" w:cs="Arial"/>
          <w:szCs w:val="24"/>
          <w:lang w:val="es-ES_tradnl"/>
        </w:rPr>
        <w:t xml:space="preserve">visión Fiscal </w:t>
      </w:r>
      <w:r w:rsidR="009000BA" w:rsidRPr="00414982">
        <w:rPr>
          <w:rFonts w:asciiTheme="majorHAnsi" w:eastAsia="Trebuchet MS" w:hAnsiTheme="majorHAnsi" w:cs="Arial"/>
          <w:szCs w:val="24"/>
          <w:lang w:val="es-ES_tradnl"/>
        </w:rPr>
        <w:t xml:space="preserve">(“JSF”) </w:t>
      </w:r>
      <w:r w:rsidR="00643903" w:rsidRPr="00414982">
        <w:rPr>
          <w:rFonts w:asciiTheme="majorHAnsi" w:eastAsia="Trebuchet MS" w:hAnsiTheme="majorHAnsi" w:cs="Arial"/>
          <w:szCs w:val="24"/>
          <w:lang w:val="es-ES_tradnl"/>
        </w:rPr>
        <w:t>en Puerto Rico que tiene el propósito de asegurar la re</w:t>
      </w:r>
      <w:r w:rsidR="009000BA" w:rsidRPr="00414982">
        <w:rPr>
          <w:rFonts w:asciiTheme="majorHAnsi" w:eastAsia="Trebuchet MS" w:hAnsiTheme="majorHAnsi" w:cs="Arial"/>
          <w:szCs w:val="24"/>
          <w:lang w:val="es-ES_tradnl"/>
        </w:rPr>
        <w:t>sponsabilidad fiscal y supervisa</w:t>
      </w:r>
      <w:r w:rsidR="00643903" w:rsidRPr="00414982">
        <w:rPr>
          <w:rFonts w:asciiTheme="majorHAnsi" w:eastAsia="Trebuchet MS" w:hAnsiTheme="majorHAnsi" w:cs="Arial"/>
          <w:szCs w:val="24"/>
          <w:lang w:val="es-ES_tradnl"/>
        </w:rPr>
        <w:t>r los esfuerzos de reestructuración</w:t>
      </w:r>
      <w:r w:rsidR="009000BA" w:rsidRPr="00414982">
        <w:rPr>
          <w:rFonts w:asciiTheme="majorHAnsi" w:eastAsia="Trebuchet MS" w:hAnsiTheme="majorHAnsi" w:cs="Arial"/>
          <w:szCs w:val="24"/>
          <w:lang w:val="es-ES_tradnl"/>
        </w:rPr>
        <w:t xml:space="preserve"> de la deuda pública</w:t>
      </w:r>
      <w:r w:rsidR="00643903" w:rsidRPr="00414982">
        <w:rPr>
          <w:rFonts w:asciiTheme="majorHAnsi" w:eastAsia="Trebuchet MS" w:hAnsiTheme="majorHAnsi" w:cs="Arial"/>
          <w:szCs w:val="24"/>
          <w:lang w:val="es-ES_tradnl"/>
        </w:rPr>
        <w:t>; 2) una paralización sobre todos los litigios en los cuales se requiera el pago de deuda</w:t>
      </w:r>
      <w:r w:rsidR="009000BA" w:rsidRPr="00414982">
        <w:rPr>
          <w:rFonts w:asciiTheme="majorHAnsi" w:eastAsia="Trebuchet MS" w:hAnsiTheme="majorHAnsi" w:cs="Arial"/>
          <w:szCs w:val="24"/>
          <w:lang w:val="es-ES_tradnl"/>
        </w:rPr>
        <w:t xml:space="preserve"> al Gobierno Central o </w:t>
      </w:r>
      <w:r w:rsidR="007D0BF3" w:rsidRPr="00414982">
        <w:rPr>
          <w:rFonts w:asciiTheme="majorHAnsi" w:eastAsia="Trebuchet MS" w:hAnsiTheme="majorHAnsi" w:cs="Arial"/>
          <w:szCs w:val="24"/>
          <w:lang w:val="es-ES_tradnl"/>
        </w:rPr>
        <w:t xml:space="preserve">a </w:t>
      </w:r>
      <w:r w:rsidR="009000BA" w:rsidRPr="00414982">
        <w:rPr>
          <w:rFonts w:asciiTheme="majorHAnsi" w:eastAsia="Trebuchet MS" w:hAnsiTheme="majorHAnsi" w:cs="Arial"/>
          <w:szCs w:val="24"/>
          <w:lang w:val="es-ES_tradnl"/>
        </w:rPr>
        <w:t xml:space="preserve">cualquier </w:t>
      </w:r>
      <w:proofErr w:type="spellStart"/>
      <w:r w:rsidR="009000BA" w:rsidRPr="00414982">
        <w:rPr>
          <w:rFonts w:asciiTheme="majorHAnsi" w:eastAsia="Trebuchet MS" w:hAnsiTheme="majorHAnsi" w:cs="Arial"/>
          <w:szCs w:val="24"/>
          <w:lang w:val="es-ES_tradnl"/>
        </w:rPr>
        <w:t>instrumentalidad</w:t>
      </w:r>
      <w:proofErr w:type="spellEnd"/>
      <w:r w:rsidR="009000BA" w:rsidRPr="00414982">
        <w:rPr>
          <w:rFonts w:asciiTheme="majorHAnsi" w:eastAsia="Trebuchet MS" w:hAnsiTheme="majorHAnsi" w:cs="Arial"/>
          <w:szCs w:val="24"/>
          <w:lang w:val="es-ES_tradnl"/>
        </w:rPr>
        <w:t xml:space="preserve"> o corporación pública</w:t>
      </w:r>
      <w:r w:rsidR="006C7ACA" w:rsidRPr="00414982">
        <w:rPr>
          <w:rFonts w:asciiTheme="majorHAnsi" w:eastAsia="Trebuchet MS" w:hAnsiTheme="majorHAnsi" w:cs="Arial"/>
          <w:szCs w:val="24"/>
          <w:lang w:val="es-ES_tradnl"/>
        </w:rPr>
        <w:t xml:space="preserve"> del ELA</w:t>
      </w:r>
      <w:r w:rsidR="009000BA" w:rsidRPr="00414982">
        <w:rPr>
          <w:rFonts w:asciiTheme="majorHAnsi" w:eastAsia="Trebuchet MS" w:hAnsiTheme="majorHAnsi" w:cs="Arial"/>
          <w:szCs w:val="24"/>
          <w:lang w:val="es-ES_tradnl"/>
        </w:rPr>
        <w:t>; 3)</w:t>
      </w:r>
      <w:r w:rsidR="00643903" w:rsidRPr="00414982">
        <w:rPr>
          <w:rFonts w:asciiTheme="majorHAnsi" w:eastAsia="Trebuchet MS" w:hAnsiTheme="majorHAnsi" w:cs="Arial"/>
          <w:szCs w:val="24"/>
          <w:lang w:val="es-ES_tradnl"/>
        </w:rPr>
        <w:t xml:space="preserve"> al menos dos mecanismos de reestructuración de deuda,</w:t>
      </w:r>
      <w:r w:rsidR="009000BA" w:rsidRPr="00414982">
        <w:rPr>
          <w:rFonts w:asciiTheme="majorHAnsi" w:eastAsia="Trebuchet MS" w:hAnsiTheme="majorHAnsi" w:cs="Arial"/>
          <w:szCs w:val="24"/>
          <w:lang w:val="es-ES_tradnl"/>
        </w:rPr>
        <w:t xml:space="preserve"> con capacidad de vincular a todos los acreedores y</w:t>
      </w:r>
      <w:r w:rsidR="00643903" w:rsidRPr="00414982">
        <w:rPr>
          <w:rFonts w:asciiTheme="majorHAnsi" w:eastAsia="Trebuchet MS" w:hAnsiTheme="majorHAnsi" w:cs="Arial"/>
          <w:szCs w:val="24"/>
          <w:lang w:val="es-ES_tradnl"/>
        </w:rPr>
        <w:t xml:space="preserve"> acceso a jueces federales que puedan resolver cualquier disputa entre los distintos acreedores; y 4) un mecanismo para acceder </w:t>
      </w:r>
      <w:r w:rsidR="00643903" w:rsidRPr="00414982">
        <w:rPr>
          <w:rFonts w:asciiTheme="majorHAnsi" w:eastAsia="Trebuchet MS" w:hAnsiTheme="majorHAnsi" w:cs="Arial"/>
          <w:szCs w:val="24"/>
          <w:lang w:val="es-ES_tradnl"/>
        </w:rPr>
        <w:lastRenderedPageBreak/>
        <w:t xml:space="preserve">a financiamiento mientras se maneja el proceso de reestructuración </w:t>
      </w:r>
      <w:r w:rsidR="00D17303" w:rsidRPr="00414982">
        <w:rPr>
          <w:rFonts w:asciiTheme="majorHAnsi" w:eastAsia="Trebuchet MS" w:hAnsiTheme="majorHAnsi" w:cs="Arial"/>
          <w:szCs w:val="24"/>
          <w:lang w:val="es-ES_tradnl"/>
        </w:rPr>
        <w:t xml:space="preserve">de deuda </w:t>
      </w:r>
      <w:r w:rsidR="00643903" w:rsidRPr="00414982">
        <w:rPr>
          <w:rFonts w:asciiTheme="majorHAnsi" w:eastAsia="Trebuchet MS" w:hAnsiTheme="majorHAnsi" w:cs="Arial"/>
          <w:szCs w:val="24"/>
          <w:lang w:val="es-ES_tradnl"/>
        </w:rPr>
        <w:t>(</w:t>
      </w:r>
      <w:proofErr w:type="spellStart"/>
      <w:r w:rsidR="00643903" w:rsidRPr="00414982">
        <w:rPr>
          <w:rFonts w:asciiTheme="majorHAnsi" w:eastAsia="Trebuchet MS" w:hAnsiTheme="majorHAnsi" w:cs="Arial"/>
          <w:i/>
          <w:szCs w:val="24"/>
          <w:lang w:val="es-ES_tradnl"/>
        </w:rPr>
        <w:t>debtor</w:t>
      </w:r>
      <w:proofErr w:type="spellEnd"/>
      <w:r w:rsidR="00643903" w:rsidRPr="00414982">
        <w:rPr>
          <w:rFonts w:asciiTheme="majorHAnsi" w:eastAsia="Trebuchet MS" w:hAnsiTheme="majorHAnsi" w:cs="Arial"/>
          <w:i/>
          <w:szCs w:val="24"/>
          <w:lang w:val="es-ES_tradnl"/>
        </w:rPr>
        <w:t>-in-</w:t>
      </w:r>
      <w:proofErr w:type="spellStart"/>
      <w:r w:rsidR="00643903" w:rsidRPr="00414982">
        <w:rPr>
          <w:rFonts w:asciiTheme="majorHAnsi" w:eastAsia="Trebuchet MS" w:hAnsiTheme="majorHAnsi" w:cs="Arial"/>
          <w:i/>
          <w:szCs w:val="24"/>
          <w:lang w:val="es-ES_tradnl"/>
        </w:rPr>
        <w:t>possession</w:t>
      </w:r>
      <w:proofErr w:type="spellEnd"/>
      <w:r w:rsidR="00643903" w:rsidRPr="00414982">
        <w:rPr>
          <w:rFonts w:asciiTheme="majorHAnsi" w:eastAsia="Trebuchet MS" w:hAnsiTheme="majorHAnsi" w:cs="Arial"/>
          <w:i/>
          <w:szCs w:val="24"/>
          <w:lang w:val="es-ES_tradnl"/>
        </w:rPr>
        <w:t xml:space="preserve"> </w:t>
      </w:r>
      <w:proofErr w:type="spellStart"/>
      <w:r w:rsidR="00643903" w:rsidRPr="00414982">
        <w:rPr>
          <w:rFonts w:asciiTheme="majorHAnsi" w:eastAsia="Trebuchet MS" w:hAnsiTheme="majorHAnsi" w:cs="Arial"/>
          <w:i/>
          <w:szCs w:val="24"/>
          <w:lang w:val="es-ES_tradnl"/>
        </w:rPr>
        <w:t>financing</w:t>
      </w:r>
      <w:proofErr w:type="spellEnd"/>
      <w:r w:rsidR="00643903" w:rsidRPr="00414982">
        <w:rPr>
          <w:rFonts w:asciiTheme="majorHAnsi" w:eastAsia="Trebuchet MS" w:hAnsiTheme="majorHAnsi" w:cs="Arial"/>
          <w:szCs w:val="24"/>
          <w:lang w:val="es-ES_tradnl"/>
        </w:rPr>
        <w:t>).</w:t>
      </w:r>
      <w:r w:rsidR="009000BA" w:rsidRPr="00414982">
        <w:rPr>
          <w:rFonts w:asciiTheme="majorHAnsi" w:eastAsia="Trebuchet MS" w:hAnsiTheme="majorHAnsi" w:cs="Arial"/>
          <w:szCs w:val="24"/>
          <w:lang w:val="es-ES_tradnl"/>
        </w:rPr>
        <w:t xml:space="preserve">  Mediante PROMESA, la</w:t>
      </w:r>
      <w:r w:rsidR="007D0BF3" w:rsidRPr="00414982">
        <w:rPr>
          <w:rFonts w:asciiTheme="majorHAnsi" w:eastAsia="Trebuchet MS" w:hAnsiTheme="majorHAnsi" w:cs="Arial"/>
          <w:szCs w:val="24"/>
          <w:lang w:val="es-ES_tradnl"/>
        </w:rPr>
        <w:t xml:space="preserve"> JSF tiene</w:t>
      </w:r>
      <w:r w:rsidR="009000BA" w:rsidRPr="00414982">
        <w:rPr>
          <w:rFonts w:asciiTheme="majorHAnsi" w:eastAsia="Trebuchet MS" w:hAnsiTheme="majorHAnsi" w:cs="Arial"/>
          <w:szCs w:val="24"/>
          <w:lang w:val="es-ES_tradnl"/>
        </w:rPr>
        <w:t xml:space="preserve"> la potestad de nombrar a toda y cualquier entidad o unidad gubernamen</w:t>
      </w:r>
      <w:r w:rsidR="001E637D" w:rsidRPr="00414982">
        <w:rPr>
          <w:rFonts w:asciiTheme="majorHAnsi" w:eastAsia="Trebuchet MS" w:hAnsiTheme="majorHAnsi" w:cs="Arial"/>
          <w:szCs w:val="24"/>
          <w:lang w:val="es-ES_tradnl"/>
        </w:rPr>
        <w:t>tal como una entidad cubierta (</w:t>
      </w:r>
      <w:proofErr w:type="spellStart"/>
      <w:r w:rsidR="001E637D" w:rsidRPr="00414982">
        <w:rPr>
          <w:rFonts w:asciiTheme="majorHAnsi" w:eastAsia="Trebuchet MS" w:hAnsiTheme="majorHAnsi" w:cs="Arial"/>
          <w:i/>
          <w:szCs w:val="24"/>
          <w:lang w:val="es-ES_tradnl"/>
        </w:rPr>
        <w:t>covered</w:t>
      </w:r>
      <w:proofErr w:type="spellEnd"/>
      <w:r w:rsidR="001E637D" w:rsidRPr="00414982">
        <w:rPr>
          <w:rFonts w:asciiTheme="majorHAnsi" w:eastAsia="Trebuchet MS" w:hAnsiTheme="majorHAnsi" w:cs="Arial"/>
          <w:i/>
          <w:szCs w:val="24"/>
          <w:lang w:val="es-ES_tradnl"/>
        </w:rPr>
        <w:t xml:space="preserve"> </w:t>
      </w:r>
      <w:proofErr w:type="spellStart"/>
      <w:r w:rsidR="001E637D" w:rsidRPr="00414982">
        <w:rPr>
          <w:rFonts w:asciiTheme="majorHAnsi" w:eastAsia="Trebuchet MS" w:hAnsiTheme="majorHAnsi" w:cs="Arial"/>
          <w:i/>
          <w:szCs w:val="24"/>
          <w:lang w:val="es-ES_tradnl"/>
        </w:rPr>
        <w:t>instrumentality</w:t>
      </w:r>
      <w:proofErr w:type="spellEnd"/>
      <w:r w:rsidR="009000BA" w:rsidRPr="00414982">
        <w:rPr>
          <w:rFonts w:asciiTheme="majorHAnsi" w:eastAsia="Trebuchet MS" w:hAnsiTheme="majorHAnsi" w:cs="Arial"/>
          <w:szCs w:val="24"/>
          <w:lang w:val="es-ES_tradnl"/>
        </w:rPr>
        <w:t xml:space="preserve">), designación con la cual las entidades </w:t>
      </w:r>
      <w:r w:rsidR="007D0BF3" w:rsidRPr="00414982">
        <w:rPr>
          <w:rFonts w:asciiTheme="majorHAnsi" w:eastAsia="Trebuchet MS" w:hAnsiTheme="majorHAnsi" w:cs="Arial"/>
          <w:szCs w:val="24"/>
          <w:lang w:val="es-ES_tradnl"/>
        </w:rPr>
        <w:t>vienen obligadas a</w:t>
      </w:r>
      <w:r w:rsidR="009000BA" w:rsidRPr="00414982">
        <w:rPr>
          <w:rFonts w:asciiTheme="majorHAnsi" w:eastAsia="Trebuchet MS" w:hAnsiTheme="majorHAnsi" w:cs="Arial"/>
          <w:szCs w:val="24"/>
          <w:lang w:val="es-ES_tradnl"/>
        </w:rPr>
        <w:t>, entre otros, entregar informes periódicos sobre sus finanzas, preparar Planes de Ajuste Fiscal y obtener autorización de la Junta para poder emitir nueva deuda o modificar o reestructurar su deuda actual.</w:t>
      </w:r>
    </w:p>
    <w:p w14:paraId="1E59E846" w14:textId="4B50E938" w:rsidR="001E637D" w:rsidRPr="00414982" w:rsidRDefault="009000BA" w:rsidP="001E637D">
      <w:pPr>
        <w:pStyle w:val="NormalWeb"/>
        <w:jc w:val="both"/>
        <w:rPr>
          <w:rFonts w:asciiTheme="majorHAnsi" w:hAnsiTheme="majorHAnsi"/>
          <w:sz w:val="24"/>
          <w:szCs w:val="24"/>
          <w:lang w:val="es-ES_tradnl"/>
        </w:rPr>
      </w:pPr>
      <w:r w:rsidRPr="00414982">
        <w:rPr>
          <w:rFonts w:asciiTheme="majorHAnsi" w:eastAsia="Trebuchet MS" w:hAnsiTheme="majorHAnsi" w:cs="Arial"/>
          <w:sz w:val="24"/>
          <w:szCs w:val="24"/>
          <w:lang w:val="es-ES_tradnl"/>
        </w:rPr>
        <w:t xml:space="preserve">El 30 de septiembre de 2016, la JSF, en su primera reunión, designó a todas las unidades e </w:t>
      </w:r>
      <w:proofErr w:type="spellStart"/>
      <w:r w:rsidRPr="00414982">
        <w:rPr>
          <w:rFonts w:asciiTheme="majorHAnsi" w:eastAsia="Trebuchet MS" w:hAnsiTheme="majorHAnsi" w:cs="Arial"/>
          <w:sz w:val="24"/>
          <w:szCs w:val="24"/>
          <w:lang w:val="es-ES_tradnl"/>
        </w:rPr>
        <w:t>instrumentalidades</w:t>
      </w:r>
      <w:proofErr w:type="spellEnd"/>
      <w:r w:rsidRPr="00414982">
        <w:rPr>
          <w:rFonts w:asciiTheme="majorHAnsi" w:eastAsia="Trebuchet MS" w:hAnsiTheme="majorHAnsi" w:cs="Arial"/>
          <w:sz w:val="24"/>
          <w:szCs w:val="24"/>
          <w:lang w:val="es-ES_tradnl"/>
        </w:rPr>
        <w:t xml:space="preserve"> del Gobierno Central, y a todas las corporaciones públicas, incluyendo a la AAFAF</w:t>
      </w:r>
      <w:r w:rsidR="001D74ED" w:rsidRPr="00414982">
        <w:rPr>
          <w:rFonts w:asciiTheme="majorHAnsi" w:eastAsia="Trebuchet MS" w:hAnsiTheme="majorHAnsi" w:cs="Arial"/>
          <w:sz w:val="24"/>
          <w:szCs w:val="24"/>
          <w:lang w:val="es-ES_tradnl"/>
        </w:rPr>
        <w:t>, a los Sistemas de Retiro y a la Universidad de Puerto Rico</w:t>
      </w:r>
      <w:r w:rsidRPr="00414982">
        <w:rPr>
          <w:rFonts w:asciiTheme="majorHAnsi" w:eastAsia="Trebuchet MS" w:hAnsiTheme="majorHAnsi" w:cs="Arial"/>
          <w:sz w:val="24"/>
          <w:szCs w:val="24"/>
          <w:lang w:val="es-ES_tradnl"/>
        </w:rPr>
        <w:t xml:space="preserve">, como entidades cubiertas.  Conforme a lo anterior, la JSF solicitó </w:t>
      </w:r>
      <w:r w:rsidR="001E637D" w:rsidRPr="00414982">
        <w:rPr>
          <w:rFonts w:asciiTheme="majorHAnsi" w:eastAsia="Trebuchet MS" w:hAnsiTheme="majorHAnsi" w:cs="Arial"/>
          <w:sz w:val="24"/>
          <w:szCs w:val="24"/>
          <w:lang w:val="es-ES_tradnl"/>
        </w:rPr>
        <w:t xml:space="preserve">que para el 14 de octubre de 2016, se le entregara </w:t>
      </w:r>
      <w:r w:rsidR="001E637D" w:rsidRPr="00414982">
        <w:rPr>
          <w:rFonts w:asciiTheme="majorHAnsi" w:hAnsiTheme="majorHAnsi" w:cs="Arial"/>
          <w:sz w:val="24"/>
          <w:szCs w:val="24"/>
          <w:lang w:val="es-ES_tradnl"/>
        </w:rPr>
        <w:t xml:space="preserve">el Plan Fiscal del Gobierno de Puerto Rico, el cual debe incluir a todas las agencias, departamentos, oficinas, programas y funciones que son parte del Gobierno Central y a los Sistemas de Retiro, la Universidad de Puerto Rico, la AAFAF y varias otras corporaciones públicas e </w:t>
      </w:r>
      <w:proofErr w:type="spellStart"/>
      <w:r w:rsidR="001E637D" w:rsidRPr="00414982">
        <w:rPr>
          <w:rFonts w:asciiTheme="majorHAnsi" w:hAnsiTheme="majorHAnsi" w:cs="Arial"/>
          <w:sz w:val="24"/>
          <w:szCs w:val="24"/>
          <w:lang w:val="es-ES_tradnl"/>
        </w:rPr>
        <w:t>instrumentalidades</w:t>
      </w:r>
      <w:proofErr w:type="spellEnd"/>
      <w:r w:rsidR="001E637D" w:rsidRPr="00414982">
        <w:rPr>
          <w:rFonts w:asciiTheme="majorHAnsi" w:hAnsiTheme="majorHAnsi" w:cs="Arial"/>
          <w:sz w:val="24"/>
          <w:szCs w:val="24"/>
          <w:lang w:val="es-ES_tradnl"/>
        </w:rPr>
        <w:t>.</w:t>
      </w:r>
    </w:p>
    <w:p w14:paraId="16293316" w14:textId="1C53ACEB" w:rsidR="009000BA" w:rsidRPr="00414982" w:rsidRDefault="001E637D" w:rsidP="009000BA">
      <w:pPr>
        <w:jc w:val="both"/>
        <w:rPr>
          <w:rFonts w:asciiTheme="majorHAnsi" w:eastAsia="Calibri" w:hAnsiTheme="majorHAnsi" w:cs="Arial"/>
          <w:szCs w:val="24"/>
          <w:lang w:val="es-PR"/>
        </w:rPr>
      </w:pPr>
      <w:r w:rsidRPr="00414982">
        <w:rPr>
          <w:rFonts w:asciiTheme="majorHAnsi" w:eastAsia="Calibri" w:hAnsiTheme="majorHAnsi" w:cs="Arial"/>
          <w:szCs w:val="24"/>
          <w:lang w:val="es-PR"/>
        </w:rPr>
        <w:t xml:space="preserve">A modo de breve repaso de los esfuerzos de la reestructuración de la deuda pública, </w:t>
      </w:r>
      <w:r w:rsidR="00A842DC" w:rsidRPr="00414982">
        <w:rPr>
          <w:rFonts w:asciiTheme="majorHAnsi" w:eastAsia="Calibri" w:hAnsiTheme="majorHAnsi" w:cs="Arial"/>
          <w:szCs w:val="24"/>
          <w:lang w:val="es-PR"/>
        </w:rPr>
        <w:t>es prec</w:t>
      </w:r>
      <w:r w:rsidRPr="00414982">
        <w:rPr>
          <w:rFonts w:asciiTheme="majorHAnsi" w:eastAsia="Calibri" w:hAnsiTheme="majorHAnsi" w:cs="Arial"/>
          <w:szCs w:val="24"/>
          <w:lang w:val="es-PR"/>
        </w:rPr>
        <w:t xml:space="preserve">iso recordar que ante el cuadro fiscal que retrató el </w:t>
      </w:r>
      <w:r w:rsidRPr="00414982">
        <w:rPr>
          <w:rFonts w:asciiTheme="majorHAnsi" w:eastAsia="Calibri" w:hAnsiTheme="majorHAnsi" w:cs="Arial"/>
          <w:i/>
          <w:szCs w:val="24"/>
          <w:lang w:val="es-PR"/>
        </w:rPr>
        <w:t xml:space="preserve">Informe </w:t>
      </w:r>
      <w:proofErr w:type="spellStart"/>
      <w:r w:rsidRPr="00414982">
        <w:rPr>
          <w:rFonts w:asciiTheme="majorHAnsi" w:eastAsia="Calibri" w:hAnsiTheme="majorHAnsi" w:cs="Arial"/>
          <w:i/>
          <w:szCs w:val="24"/>
          <w:lang w:val="es-PR"/>
        </w:rPr>
        <w:t>Krueger</w:t>
      </w:r>
      <w:proofErr w:type="spellEnd"/>
      <w:r w:rsidRPr="00414982">
        <w:rPr>
          <w:rFonts w:asciiTheme="majorHAnsi" w:eastAsia="Calibri" w:hAnsiTheme="majorHAnsi" w:cs="Arial"/>
          <w:szCs w:val="24"/>
          <w:lang w:val="es-PR"/>
        </w:rPr>
        <w:t xml:space="preserve">, el Gobernador de Puerto Rico anunció el 29 de junio de 2015 que la deuda pública era “impagable” en los términos en que fue contraída, y que buscaría reestructurar la </w:t>
      </w:r>
      <w:r w:rsidR="007D0BF3" w:rsidRPr="00414982">
        <w:rPr>
          <w:rFonts w:asciiTheme="majorHAnsi" w:eastAsia="Calibri" w:hAnsiTheme="majorHAnsi" w:cs="Arial"/>
          <w:szCs w:val="24"/>
          <w:lang w:val="es-PR"/>
        </w:rPr>
        <w:t>misma</w:t>
      </w:r>
      <w:r w:rsidRPr="00414982">
        <w:rPr>
          <w:rFonts w:asciiTheme="majorHAnsi" w:eastAsia="Calibri" w:hAnsiTheme="majorHAnsi" w:cs="Arial"/>
          <w:szCs w:val="24"/>
          <w:lang w:val="es-PR"/>
        </w:rPr>
        <w:t xml:space="preserve"> mediante un proceso voluntario con nuestros acreedores.  Luego, partiendo de los hallazgos y las recomendaciones del </w:t>
      </w:r>
      <w:r w:rsidRPr="009C7906">
        <w:rPr>
          <w:rFonts w:asciiTheme="majorHAnsi" w:eastAsia="Calibri" w:hAnsiTheme="majorHAnsi" w:cs="Arial"/>
          <w:i/>
          <w:szCs w:val="24"/>
          <w:lang w:val="es-PR"/>
        </w:rPr>
        <w:t xml:space="preserve">Informe </w:t>
      </w:r>
      <w:proofErr w:type="spellStart"/>
      <w:r w:rsidRPr="009C7906">
        <w:rPr>
          <w:rFonts w:asciiTheme="majorHAnsi" w:eastAsia="Calibri" w:hAnsiTheme="majorHAnsi" w:cs="Arial"/>
          <w:i/>
          <w:szCs w:val="24"/>
          <w:lang w:val="es-PR"/>
        </w:rPr>
        <w:t>Krueger</w:t>
      </w:r>
      <w:proofErr w:type="spellEnd"/>
      <w:r w:rsidRPr="00414982">
        <w:rPr>
          <w:rFonts w:asciiTheme="majorHAnsi" w:eastAsia="Calibri" w:hAnsiTheme="majorHAnsi" w:cs="Arial"/>
          <w:szCs w:val="24"/>
          <w:lang w:val="es-PR"/>
        </w:rPr>
        <w:t>, el Grupo de Trabajo para la Recuperación Fiscal y Económica de Puerto Rico (el “Grupo de Trabajo”) preparó el Plan Fiscal y de Crecimiento Económico de Puerto Rico (</w:t>
      </w:r>
      <w:r w:rsidR="007D0BF3" w:rsidRPr="00414982">
        <w:rPr>
          <w:rFonts w:asciiTheme="majorHAnsi" w:eastAsia="Calibri" w:hAnsiTheme="majorHAnsi" w:cs="Arial"/>
          <w:szCs w:val="24"/>
          <w:lang w:val="es-PR"/>
        </w:rPr>
        <w:t>“FEGP” por sus siglas en inglés</w:t>
      </w:r>
      <w:r w:rsidRPr="00414982">
        <w:rPr>
          <w:rFonts w:asciiTheme="majorHAnsi" w:eastAsia="Calibri" w:hAnsiTheme="majorHAnsi" w:cs="Arial"/>
          <w:szCs w:val="24"/>
          <w:lang w:val="es-PR"/>
        </w:rPr>
        <w:t>) que fue publicado el 9 de septiembre de 2015, y luego actualizado el 18 de enero de 2016. Poco después, y utilizando el Plan como herramienta de negociación, el Gobierno y nuestros acreedores intercambiaron varias ofertas de reestructuración, sin poder llegar a un acuerdo previo a la aprobación de PROMESA.</w:t>
      </w:r>
    </w:p>
    <w:p w14:paraId="11609E65" w14:textId="77777777" w:rsidR="00643903" w:rsidRPr="00414982" w:rsidRDefault="00643903" w:rsidP="0060529C">
      <w:pPr>
        <w:rPr>
          <w:rFonts w:asciiTheme="majorHAnsi" w:eastAsia="Trebuchet MS" w:hAnsiTheme="majorHAnsi" w:cs="Trebuchet MS"/>
          <w:szCs w:val="24"/>
          <w:lang w:val="es-PR"/>
        </w:rPr>
      </w:pPr>
    </w:p>
    <w:p w14:paraId="480CE854" w14:textId="20814CCC" w:rsidR="00474DFA" w:rsidRPr="00414982" w:rsidRDefault="001E637D" w:rsidP="007D0BF3">
      <w:pPr>
        <w:jc w:val="both"/>
        <w:rPr>
          <w:rFonts w:asciiTheme="majorHAnsi" w:eastAsia="Trebuchet MS" w:hAnsiTheme="majorHAnsi" w:cs="Arial"/>
          <w:szCs w:val="24"/>
          <w:lang w:val="es-ES_tradnl"/>
        </w:rPr>
      </w:pPr>
      <w:r w:rsidRPr="00414982">
        <w:rPr>
          <w:rFonts w:asciiTheme="majorHAnsi" w:eastAsia="Trebuchet MS" w:hAnsiTheme="majorHAnsi" w:cs="Arial"/>
          <w:szCs w:val="24"/>
          <w:lang w:val="es-ES_tradnl"/>
        </w:rPr>
        <w:t>A base del trabajo realizado por el Grupo de Trabajo</w:t>
      </w:r>
      <w:r w:rsidR="00A842DC" w:rsidRPr="00414982">
        <w:rPr>
          <w:rFonts w:asciiTheme="majorHAnsi" w:eastAsia="Trebuchet MS" w:hAnsiTheme="majorHAnsi" w:cs="Arial"/>
          <w:szCs w:val="24"/>
          <w:lang w:val="es-ES_tradnl"/>
        </w:rPr>
        <w:t>, y asumiendo su rol de ser</w:t>
      </w:r>
      <w:r w:rsidR="0060529C" w:rsidRPr="00414982">
        <w:rPr>
          <w:rFonts w:asciiTheme="majorHAnsi" w:eastAsia="Trebuchet MS" w:hAnsiTheme="majorHAnsi" w:cs="Arial"/>
          <w:szCs w:val="24"/>
          <w:lang w:val="es-ES_tradnl"/>
        </w:rPr>
        <w:t xml:space="preserve"> </w:t>
      </w:r>
      <w:r w:rsidR="000E6B41" w:rsidRPr="00414982">
        <w:rPr>
          <w:rFonts w:asciiTheme="majorHAnsi" w:eastAsia="Trebuchet MS" w:hAnsiTheme="majorHAnsi" w:cs="Arial"/>
          <w:szCs w:val="24"/>
          <w:lang w:val="es-ES_tradnl"/>
        </w:rPr>
        <w:t xml:space="preserve">la entidad </w:t>
      </w:r>
      <w:r w:rsidR="00A842DC" w:rsidRPr="00414982">
        <w:rPr>
          <w:rFonts w:asciiTheme="majorHAnsi" w:eastAsia="Trebuchet MS" w:hAnsiTheme="majorHAnsi" w:cs="Arial"/>
          <w:szCs w:val="24"/>
          <w:lang w:val="es-ES_tradnl"/>
        </w:rPr>
        <w:t>a nivel estatal</w:t>
      </w:r>
      <w:r w:rsidR="007D0BF3" w:rsidRPr="00414982">
        <w:rPr>
          <w:rFonts w:asciiTheme="majorHAnsi" w:eastAsia="Trebuchet MS" w:hAnsiTheme="majorHAnsi" w:cs="Arial"/>
          <w:szCs w:val="24"/>
          <w:lang w:val="es-ES_tradnl"/>
        </w:rPr>
        <w:t xml:space="preserve"> para asisti</w:t>
      </w:r>
      <w:r w:rsidR="000E6B41" w:rsidRPr="00414982">
        <w:rPr>
          <w:rFonts w:asciiTheme="majorHAnsi" w:eastAsia="Trebuchet MS" w:hAnsiTheme="majorHAnsi" w:cs="Arial"/>
          <w:szCs w:val="24"/>
          <w:lang w:val="es-ES_tradnl"/>
        </w:rPr>
        <w:t xml:space="preserve">r al ELA y a sus agencias, </w:t>
      </w:r>
      <w:proofErr w:type="spellStart"/>
      <w:r w:rsidR="000E6B41" w:rsidRPr="00414982">
        <w:rPr>
          <w:rFonts w:asciiTheme="majorHAnsi" w:eastAsia="Trebuchet MS" w:hAnsiTheme="majorHAnsi" w:cs="Arial"/>
          <w:szCs w:val="24"/>
          <w:lang w:val="es-ES_tradnl"/>
        </w:rPr>
        <w:t>instrumentalidades</w:t>
      </w:r>
      <w:proofErr w:type="spellEnd"/>
      <w:r w:rsidR="000E6B41" w:rsidRPr="00414982">
        <w:rPr>
          <w:rFonts w:asciiTheme="majorHAnsi" w:eastAsia="Trebuchet MS" w:hAnsiTheme="majorHAnsi" w:cs="Arial"/>
          <w:szCs w:val="24"/>
          <w:lang w:val="es-ES_tradnl"/>
        </w:rPr>
        <w:t>, corporaciones públicas y Municipios a preparar</w:t>
      </w:r>
      <w:r w:rsidR="00A842DC" w:rsidRPr="00414982">
        <w:rPr>
          <w:rFonts w:asciiTheme="majorHAnsi" w:eastAsia="Trebuchet MS" w:hAnsiTheme="majorHAnsi" w:cs="Arial"/>
          <w:szCs w:val="24"/>
          <w:lang w:val="es-ES_tradnl"/>
        </w:rPr>
        <w:t xml:space="preserve"> planes de contingencia, la AAFAF se dio a la tarea de actualizar el FEGP para entreg</w:t>
      </w:r>
      <w:r w:rsidR="007D0BF3" w:rsidRPr="00414982">
        <w:rPr>
          <w:rFonts w:asciiTheme="majorHAnsi" w:eastAsia="Trebuchet MS" w:hAnsiTheme="majorHAnsi" w:cs="Arial"/>
          <w:szCs w:val="24"/>
          <w:lang w:val="es-ES_tradnl"/>
        </w:rPr>
        <w:t>arlo a la JSF, durante la reunió</w:t>
      </w:r>
      <w:r w:rsidR="00A842DC" w:rsidRPr="00414982">
        <w:rPr>
          <w:rFonts w:asciiTheme="majorHAnsi" w:eastAsia="Trebuchet MS" w:hAnsiTheme="majorHAnsi" w:cs="Arial"/>
          <w:szCs w:val="24"/>
          <w:lang w:val="es-ES_tradnl"/>
        </w:rPr>
        <w:t>n de dicho ente el próximo 14 de octubre de 2016</w:t>
      </w:r>
      <w:r w:rsidR="000E6B41" w:rsidRPr="00414982">
        <w:rPr>
          <w:rFonts w:asciiTheme="majorHAnsi" w:eastAsia="Trebuchet MS" w:hAnsiTheme="majorHAnsi" w:cs="Arial"/>
          <w:szCs w:val="24"/>
          <w:lang w:val="es-ES_tradnl"/>
        </w:rPr>
        <w:t>.</w:t>
      </w:r>
      <w:r w:rsidR="00B17FA8" w:rsidRPr="00414982">
        <w:rPr>
          <w:rFonts w:asciiTheme="majorHAnsi" w:eastAsia="Trebuchet MS" w:hAnsiTheme="majorHAnsi" w:cs="Arial"/>
          <w:szCs w:val="24"/>
          <w:lang w:val="es-ES_tradnl"/>
        </w:rPr>
        <w:t xml:space="preserve">  El FEGP contiene una proyección a diez años de ingresos y gastos del ELA y de todas las </w:t>
      </w:r>
      <w:proofErr w:type="spellStart"/>
      <w:r w:rsidR="00B17FA8" w:rsidRPr="00414982">
        <w:rPr>
          <w:rFonts w:asciiTheme="majorHAnsi" w:eastAsia="Trebuchet MS" w:hAnsiTheme="majorHAnsi" w:cs="Arial"/>
          <w:szCs w:val="24"/>
          <w:lang w:val="es-ES_tradnl"/>
        </w:rPr>
        <w:t>instrumentalidades</w:t>
      </w:r>
      <w:proofErr w:type="spellEnd"/>
      <w:r w:rsidR="00B17FA8" w:rsidRPr="00414982">
        <w:rPr>
          <w:rFonts w:asciiTheme="majorHAnsi" w:eastAsia="Trebuchet MS" w:hAnsiTheme="majorHAnsi" w:cs="Arial"/>
          <w:szCs w:val="24"/>
          <w:lang w:val="es-ES_tradnl"/>
        </w:rPr>
        <w:t xml:space="preserve"> y corporaciones públicas </w:t>
      </w:r>
      <w:r w:rsidR="009C7906" w:rsidRPr="00414982">
        <w:rPr>
          <w:rFonts w:asciiTheme="majorHAnsi" w:eastAsia="Trebuchet MS" w:hAnsiTheme="majorHAnsi" w:cs="Arial"/>
          <w:szCs w:val="24"/>
          <w:lang w:val="es-ES_tradnl"/>
        </w:rPr>
        <w:t>cuya</w:t>
      </w:r>
      <w:r w:rsidR="00B17FA8" w:rsidRPr="00414982">
        <w:rPr>
          <w:rFonts w:asciiTheme="majorHAnsi" w:eastAsia="Trebuchet MS" w:hAnsiTheme="majorHAnsi" w:cs="Arial"/>
          <w:szCs w:val="24"/>
          <w:lang w:val="es-ES_tradnl"/>
        </w:rPr>
        <w:t xml:space="preserve"> deuda es pagadera de ingresos que dependen del cobro de impuestos (</w:t>
      </w:r>
      <w:proofErr w:type="spellStart"/>
      <w:r w:rsidR="00B17FA8" w:rsidRPr="00414982">
        <w:rPr>
          <w:rFonts w:asciiTheme="majorHAnsi" w:eastAsia="Trebuchet MS" w:hAnsiTheme="majorHAnsi" w:cs="Arial"/>
          <w:i/>
          <w:szCs w:val="24"/>
          <w:lang w:val="es-ES_tradnl"/>
        </w:rPr>
        <w:t>tax-suppported</w:t>
      </w:r>
      <w:proofErr w:type="spellEnd"/>
      <w:r w:rsidR="00B17FA8" w:rsidRPr="00414982">
        <w:rPr>
          <w:rFonts w:asciiTheme="majorHAnsi" w:eastAsia="Trebuchet MS" w:hAnsiTheme="majorHAnsi" w:cs="Arial"/>
          <w:i/>
          <w:szCs w:val="24"/>
          <w:lang w:val="es-ES_tradnl"/>
        </w:rPr>
        <w:t xml:space="preserve"> </w:t>
      </w:r>
      <w:proofErr w:type="spellStart"/>
      <w:r w:rsidR="00B17FA8" w:rsidRPr="00414982">
        <w:rPr>
          <w:rFonts w:asciiTheme="majorHAnsi" w:eastAsia="Trebuchet MS" w:hAnsiTheme="majorHAnsi" w:cs="Arial"/>
          <w:i/>
          <w:szCs w:val="24"/>
          <w:lang w:val="es-ES_tradnl"/>
        </w:rPr>
        <w:t>debt</w:t>
      </w:r>
      <w:proofErr w:type="spellEnd"/>
      <w:r w:rsidR="00B17FA8" w:rsidRPr="00414982">
        <w:rPr>
          <w:rFonts w:asciiTheme="majorHAnsi" w:eastAsia="Trebuchet MS" w:hAnsiTheme="majorHAnsi" w:cs="Arial"/>
          <w:szCs w:val="24"/>
          <w:lang w:val="es-ES_tradnl"/>
        </w:rPr>
        <w:t>). Además de dicha proyección, el FEGP, a base de varios supuestos, incluye ciertas medidas que están bajo el control del Gobierno de Puerto Rico para reducir la brecha existente</w:t>
      </w:r>
      <w:r w:rsidR="00656831" w:rsidRPr="00414982">
        <w:rPr>
          <w:rFonts w:asciiTheme="majorHAnsi" w:eastAsia="Trebuchet MS" w:hAnsiTheme="majorHAnsi" w:cs="Arial"/>
          <w:szCs w:val="24"/>
          <w:lang w:val="es-ES_tradnl"/>
        </w:rPr>
        <w:t xml:space="preserve"> y proyectada</w:t>
      </w:r>
      <w:r w:rsidR="00B17FA8" w:rsidRPr="00414982">
        <w:rPr>
          <w:rFonts w:asciiTheme="majorHAnsi" w:eastAsia="Trebuchet MS" w:hAnsiTheme="majorHAnsi" w:cs="Arial"/>
          <w:szCs w:val="24"/>
          <w:lang w:val="es-ES_tradnl"/>
        </w:rPr>
        <w:t xml:space="preserve"> de ingresos y gast</w:t>
      </w:r>
      <w:r w:rsidR="00656831" w:rsidRPr="00414982">
        <w:rPr>
          <w:rFonts w:asciiTheme="majorHAnsi" w:eastAsia="Trebuchet MS" w:hAnsiTheme="majorHAnsi" w:cs="Arial"/>
          <w:szCs w:val="24"/>
          <w:lang w:val="es-ES_tradnl"/>
        </w:rPr>
        <w:t>os</w:t>
      </w:r>
      <w:r w:rsidR="00D17303" w:rsidRPr="00414982">
        <w:rPr>
          <w:rFonts w:asciiTheme="majorHAnsi" w:eastAsia="Trebuchet MS" w:hAnsiTheme="majorHAnsi" w:cs="Arial"/>
          <w:szCs w:val="24"/>
          <w:lang w:val="es-ES_tradnl"/>
        </w:rPr>
        <w:t xml:space="preserve"> durante los próximos diez años</w:t>
      </w:r>
      <w:r w:rsidR="00656831" w:rsidRPr="00414982">
        <w:rPr>
          <w:rFonts w:asciiTheme="majorHAnsi" w:eastAsia="Trebuchet MS" w:hAnsiTheme="majorHAnsi" w:cs="Arial"/>
          <w:szCs w:val="24"/>
          <w:lang w:val="es-ES_tradnl"/>
        </w:rPr>
        <w:t xml:space="preserve">.  </w:t>
      </w:r>
      <w:r w:rsidR="00B17FA8" w:rsidRPr="00414982">
        <w:rPr>
          <w:rFonts w:asciiTheme="majorHAnsi" w:eastAsia="Trebuchet MS" w:hAnsiTheme="majorHAnsi" w:cs="Arial"/>
          <w:szCs w:val="24"/>
          <w:lang w:val="es-ES_tradnl"/>
        </w:rPr>
        <w:t xml:space="preserve"> </w:t>
      </w:r>
    </w:p>
    <w:p w14:paraId="6BE966A6" w14:textId="77777777" w:rsidR="00474DFA" w:rsidRPr="00414982" w:rsidRDefault="00474DFA" w:rsidP="007D0BF3">
      <w:pPr>
        <w:jc w:val="both"/>
        <w:rPr>
          <w:rFonts w:asciiTheme="majorHAnsi" w:eastAsia="Trebuchet MS" w:hAnsiTheme="majorHAnsi" w:cs="Arial"/>
          <w:szCs w:val="24"/>
          <w:lang w:val="es-ES_tradnl"/>
        </w:rPr>
      </w:pPr>
    </w:p>
    <w:p w14:paraId="5C949F6B" w14:textId="3EAD47A5" w:rsidR="00656831" w:rsidRPr="00414982" w:rsidRDefault="00B17FA8" w:rsidP="007D0BF3">
      <w:pPr>
        <w:jc w:val="both"/>
        <w:rPr>
          <w:rFonts w:asciiTheme="majorHAnsi" w:eastAsia="Trebuchet MS" w:hAnsiTheme="majorHAnsi" w:cs="Arial"/>
          <w:szCs w:val="24"/>
          <w:lang w:val="es-ES_tradnl"/>
        </w:rPr>
      </w:pPr>
      <w:r w:rsidRPr="00414982">
        <w:rPr>
          <w:rFonts w:asciiTheme="majorHAnsi" w:eastAsia="Trebuchet MS" w:hAnsiTheme="majorHAnsi" w:cs="Arial"/>
          <w:szCs w:val="24"/>
          <w:lang w:val="es-ES_tradnl"/>
        </w:rPr>
        <w:t>Según el FEGP</w:t>
      </w:r>
      <w:r w:rsidR="00656831" w:rsidRPr="00414982">
        <w:rPr>
          <w:rFonts w:asciiTheme="majorHAnsi" w:eastAsia="Trebuchet MS" w:hAnsiTheme="majorHAnsi" w:cs="Arial"/>
          <w:szCs w:val="24"/>
          <w:lang w:val="es-ES_tradnl"/>
        </w:rPr>
        <w:t xml:space="preserve">, presumiendo que se mantienen las políticas federales actuales mediante la cual se reducen o eliminan varias transferencias federales que se reciben actualmente y, además, que se continúa pagando la deuda según ésta fue contraída, la brecha entre </w:t>
      </w:r>
      <w:r w:rsidR="00656831" w:rsidRPr="00414982">
        <w:rPr>
          <w:rFonts w:asciiTheme="majorHAnsi" w:eastAsia="Trebuchet MS" w:hAnsiTheme="majorHAnsi" w:cs="Arial"/>
          <w:szCs w:val="24"/>
          <w:lang w:val="es-ES_tradnl"/>
        </w:rPr>
        <w:lastRenderedPageBreak/>
        <w:t xml:space="preserve">ingresos y gastos de Puerto Rico para los próximos 10 </w:t>
      </w:r>
      <w:r w:rsidR="00D17303" w:rsidRPr="00414982">
        <w:rPr>
          <w:rFonts w:asciiTheme="majorHAnsi" w:eastAsia="Trebuchet MS" w:hAnsiTheme="majorHAnsi" w:cs="Arial"/>
          <w:szCs w:val="24"/>
          <w:lang w:val="es-ES_tradnl"/>
        </w:rPr>
        <w:t>años asciende a aproximadamente</w:t>
      </w:r>
      <w:r w:rsidR="00AA4C34">
        <w:rPr>
          <w:rFonts w:asciiTheme="majorHAnsi" w:eastAsia="Trebuchet MS" w:hAnsiTheme="majorHAnsi" w:cs="Arial"/>
          <w:szCs w:val="24"/>
          <w:lang w:val="es-ES_tradnl"/>
        </w:rPr>
        <w:t xml:space="preserve"> $58,700 millones, de los cuales $34,9</w:t>
      </w:r>
      <w:r w:rsidR="00656831" w:rsidRPr="00414982">
        <w:rPr>
          <w:rFonts w:asciiTheme="majorHAnsi" w:eastAsia="Trebuchet MS" w:hAnsiTheme="majorHAnsi" w:cs="Arial"/>
          <w:szCs w:val="24"/>
          <w:lang w:val="es-ES_tradnl"/>
        </w:rPr>
        <w:t xml:space="preserve">00 millones corresponden al pago de servicio de deuda.  Incluso, </w:t>
      </w:r>
      <w:r w:rsidR="009C7906" w:rsidRPr="00414982">
        <w:rPr>
          <w:rFonts w:asciiTheme="majorHAnsi" w:eastAsia="Trebuchet MS" w:hAnsiTheme="majorHAnsi" w:cs="Arial"/>
          <w:szCs w:val="24"/>
          <w:lang w:val="es-ES_tradnl"/>
        </w:rPr>
        <w:t>aun</w:t>
      </w:r>
      <w:r w:rsidR="00656831" w:rsidRPr="00414982">
        <w:rPr>
          <w:rFonts w:asciiTheme="majorHAnsi" w:eastAsia="Trebuchet MS" w:hAnsiTheme="majorHAnsi" w:cs="Arial"/>
          <w:szCs w:val="24"/>
          <w:lang w:val="es-ES_tradnl"/>
        </w:rPr>
        <w:t xml:space="preserve"> implementando todas las medidas que están bajo el control local, y si no se pagara un centavo en servicio de deuda por los próximos diez (10) años, el déficit acumulad</w:t>
      </w:r>
      <w:r w:rsidR="00AA4C34">
        <w:rPr>
          <w:rFonts w:asciiTheme="majorHAnsi" w:eastAsia="Trebuchet MS" w:hAnsiTheme="majorHAnsi" w:cs="Arial"/>
          <w:szCs w:val="24"/>
          <w:lang w:val="es-ES_tradnl"/>
        </w:rPr>
        <w:t>o a esa fecha alcanzaría los $5,6</w:t>
      </w:r>
      <w:r w:rsidR="00656831" w:rsidRPr="00414982">
        <w:rPr>
          <w:rFonts w:asciiTheme="majorHAnsi" w:eastAsia="Trebuchet MS" w:hAnsiTheme="majorHAnsi" w:cs="Arial"/>
          <w:szCs w:val="24"/>
          <w:lang w:val="es-ES_tradnl"/>
        </w:rPr>
        <w:t xml:space="preserve">00 millones.  </w:t>
      </w:r>
    </w:p>
    <w:p w14:paraId="4DAFB5F7" w14:textId="77777777" w:rsidR="00656831" w:rsidRPr="00414982" w:rsidRDefault="00656831" w:rsidP="007D0BF3">
      <w:pPr>
        <w:jc w:val="both"/>
        <w:rPr>
          <w:rFonts w:asciiTheme="majorHAnsi" w:eastAsia="Trebuchet MS" w:hAnsiTheme="majorHAnsi" w:cs="Arial"/>
          <w:szCs w:val="24"/>
          <w:lang w:val="es-ES_tradnl"/>
        </w:rPr>
      </w:pPr>
    </w:p>
    <w:p w14:paraId="245B5270" w14:textId="362D1BBC" w:rsidR="00656831" w:rsidRPr="00414982" w:rsidRDefault="00850A2D" w:rsidP="00F13465">
      <w:pPr>
        <w:jc w:val="both"/>
        <w:rPr>
          <w:rFonts w:asciiTheme="majorHAnsi" w:eastAsia="Trebuchet MS" w:hAnsiTheme="majorHAnsi" w:cs="Arial"/>
          <w:szCs w:val="24"/>
          <w:lang w:val="es-ES_tradnl"/>
        </w:rPr>
      </w:pPr>
      <w:r w:rsidRPr="00414982">
        <w:rPr>
          <w:rFonts w:asciiTheme="majorHAnsi" w:eastAsia="Trebuchet MS" w:hAnsiTheme="majorHAnsi" w:cs="Arial"/>
          <w:szCs w:val="24"/>
          <w:lang w:val="es-ES_tradnl"/>
        </w:rPr>
        <w:t>Para lidiar con lo anterior</w:t>
      </w:r>
      <w:r w:rsidR="00656831" w:rsidRPr="00414982">
        <w:rPr>
          <w:rFonts w:asciiTheme="majorHAnsi" w:eastAsia="Trebuchet MS" w:hAnsiTheme="majorHAnsi" w:cs="Arial"/>
          <w:szCs w:val="24"/>
          <w:lang w:val="es-ES_tradnl"/>
        </w:rPr>
        <w:t>, e</w:t>
      </w:r>
      <w:r w:rsidR="00474DFA" w:rsidRPr="00414982">
        <w:rPr>
          <w:rFonts w:asciiTheme="majorHAnsi" w:eastAsia="Trebuchet MS" w:hAnsiTheme="majorHAnsi" w:cs="Arial"/>
          <w:szCs w:val="24"/>
          <w:lang w:val="es-ES_tradnl"/>
        </w:rPr>
        <w:t xml:space="preserve">l FEGP </w:t>
      </w:r>
      <w:r w:rsidR="00656831" w:rsidRPr="00414982">
        <w:rPr>
          <w:rFonts w:asciiTheme="majorHAnsi" w:eastAsia="Trebuchet MS" w:hAnsiTheme="majorHAnsi" w:cs="Arial"/>
          <w:szCs w:val="24"/>
          <w:lang w:val="es-ES_tradnl"/>
        </w:rPr>
        <w:t>incluye varias medidas que están predicadas en los siguientes supuestos:</w:t>
      </w:r>
    </w:p>
    <w:p w14:paraId="7B5D2031" w14:textId="77777777" w:rsidR="00656831" w:rsidRPr="00414982" w:rsidRDefault="00656831" w:rsidP="00F13465">
      <w:pPr>
        <w:jc w:val="both"/>
        <w:rPr>
          <w:rFonts w:asciiTheme="majorHAnsi" w:eastAsia="Trebuchet MS" w:hAnsiTheme="majorHAnsi" w:cs="Arial"/>
          <w:szCs w:val="24"/>
          <w:lang w:val="es-ES_tradnl"/>
        </w:rPr>
      </w:pPr>
    </w:p>
    <w:p w14:paraId="4164925F" w14:textId="6C594B0C" w:rsidR="00F13465" w:rsidRPr="00414982" w:rsidRDefault="00B17FA8" w:rsidP="00F13465">
      <w:pPr>
        <w:pStyle w:val="ListParagraph"/>
        <w:numPr>
          <w:ilvl w:val="0"/>
          <w:numId w:val="7"/>
        </w:numPr>
        <w:spacing w:after="160" w:line="259" w:lineRule="auto"/>
        <w:jc w:val="both"/>
        <w:rPr>
          <w:rFonts w:asciiTheme="majorHAnsi" w:hAnsiTheme="majorHAnsi" w:cs="Arial"/>
          <w:sz w:val="24"/>
          <w:szCs w:val="24"/>
        </w:rPr>
      </w:pPr>
      <w:r w:rsidRPr="00414982">
        <w:rPr>
          <w:rFonts w:asciiTheme="majorHAnsi" w:eastAsia="Trebuchet MS" w:hAnsiTheme="majorHAnsi" w:cs="Arial"/>
          <w:sz w:val="24"/>
          <w:szCs w:val="24"/>
          <w:lang w:val="es-ES_tradnl"/>
        </w:rPr>
        <w:t xml:space="preserve"> </w:t>
      </w:r>
      <w:r w:rsidR="00F13465" w:rsidRPr="00414982">
        <w:rPr>
          <w:rFonts w:asciiTheme="majorHAnsi" w:eastAsia="Trebuchet MS" w:hAnsiTheme="majorHAnsi" w:cs="Arial"/>
          <w:sz w:val="24"/>
          <w:szCs w:val="24"/>
          <w:lang w:val="es-ES_tradnl"/>
        </w:rPr>
        <w:t xml:space="preserve">La austeridad, implementada por </w:t>
      </w:r>
      <w:r w:rsidR="009444D9" w:rsidRPr="00414982">
        <w:rPr>
          <w:rFonts w:asciiTheme="majorHAnsi" w:eastAsia="Trebuchet MS" w:hAnsiTheme="majorHAnsi" w:cs="Arial"/>
          <w:sz w:val="24"/>
          <w:szCs w:val="24"/>
          <w:lang w:val="es-ES_tradnl"/>
        </w:rPr>
        <w:t>diferentes</w:t>
      </w:r>
      <w:r w:rsidR="00F13465" w:rsidRPr="00414982">
        <w:rPr>
          <w:rFonts w:asciiTheme="majorHAnsi" w:eastAsia="Trebuchet MS" w:hAnsiTheme="majorHAnsi" w:cs="Arial"/>
          <w:sz w:val="24"/>
          <w:szCs w:val="24"/>
          <w:lang w:val="es-ES_tradnl"/>
        </w:rPr>
        <w:t xml:space="preserve"> Administraciones a distintos niveles desde el año 2006, no debe continuar impidiendo el crecimiento económico</w:t>
      </w:r>
      <w:r w:rsidR="00F13465" w:rsidRPr="00414982">
        <w:rPr>
          <w:rFonts w:asciiTheme="majorHAnsi" w:hAnsiTheme="majorHAnsi" w:cs="Arial"/>
          <w:sz w:val="24"/>
          <w:szCs w:val="24"/>
        </w:rPr>
        <w:t>;</w:t>
      </w:r>
    </w:p>
    <w:p w14:paraId="4A501350" w14:textId="046447C9" w:rsidR="00F13465" w:rsidRPr="00414982" w:rsidRDefault="00F13465" w:rsidP="00F13465">
      <w:pPr>
        <w:pStyle w:val="ListParagraph"/>
        <w:numPr>
          <w:ilvl w:val="0"/>
          <w:numId w:val="7"/>
        </w:numPr>
        <w:spacing w:after="160" w:line="259" w:lineRule="auto"/>
        <w:jc w:val="both"/>
        <w:rPr>
          <w:rFonts w:asciiTheme="majorHAnsi" w:hAnsiTheme="majorHAnsi" w:cs="Arial"/>
          <w:sz w:val="24"/>
          <w:szCs w:val="24"/>
        </w:rPr>
      </w:pPr>
      <w:r w:rsidRPr="00414982">
        <w:rPr>
          <w:rFonts w:asciiTheme="majorHAnsi" w:hAnsiTheme="majorHAnsi" w:cs="Arial"/>
          <w:sz w:val="24"/>
          <w:szCs w:val="24"/>
        </w:rPr>
        <w:t xml:space="preserve">Mejorar la </w:t>
      </w:r>
      <w:r w:rsidR="00414982" w:rsidRPr="00414982">
        <w:rPr>
          <w:rFonts w:asciiTheme="majorHAnsi" w:hAnsiTheme="majorHAnsi" w:cs="Arial"/>
          <w:sz w:val="24"/>
          <w:szCs w:val="24"/>
        </w:rPr>
        <w:t>transparencia</w:t>
      </w:r>
      <w:r w:rsidRPr="00414982">
        <w:rPr>
          <w:rFonts w:asciiTheme="majorHAnsi" w:hAnsiTheme="majorHAnsi" w:cs="Arial"/>
          <w:sz w:val="24"/>
          <w:szCs w:val="24"/>
        </w:rPr>
        <w:t xml:space="preserve"> financiera y los controles presupuestarios;</w:t>
      </w:r>
    </w:p>
    <w:p w14:paraId="7D01C4DE" w14:textId="53AD2362" w:rsidR="00F13465" w:rsidRPr="00414982" w:rsidRDefault="00F13465" w:rsidP="00F13465">
      <w:pPr>
        <w:pStyle w:val="ListParagraph"/>
        <w:numPr>
          <w:ilvl w:val="0"/>
          <w:numId w:val="7"/>
        </w:numPr>
        <w:spacing w:after="160" w:line="259" w:lineRule="auto"/>
        <w:jc w:val="both"/>
        <w:rPr>
          <w:rFonts w:asciiTheme="majorHAnsi" w:hAnsiTheme="majorHAnsi" w:cs="Arial"/>
          <w:sz w:val="24"/>
          <w:szCs w:val="24"/>
        </w:rPr>
      </w:pPr>
      <w:r w:rsidRPr="00414982">
        <w:rPr>
          <w:rFonts w:asciiTheme="majorHAnsi" w:hAnsiTheme="majorHAnsi" w:cs="Arial"/>
          <w:sz w:val="24"/>
          <w:szCs w:val="24"/>
        </w:rPr>
        <w:t xml:space="preserve">Racionalizar el gasto público y las políticas contributivas para promover la eficiencia en la administración gubernamental; </w:t>
      </w:r>
    </w:p>
    <w:p w14:paraId="30979FC1" w14:textId="4A393D6F" w:rsidR="00F13465" w:rsidRPr="00414982" w:rsidRDefault="00F13465" w:rsidP="00F13465">
      <w:pPr>
        <w:pStyle w:val="ListParagraph"/>
        <w:numPr>
          <w:ilvl w:val="0"/>
          <w:numId w:val="7"/>
        </w:numPr>
        <w:spacing w:after="160" w:line="259" w:lineRule="auto"/>
        <w:jc w:val="both"/>
        <w:rPr>
          <w:rFonts w:asciiTheme="majorHAnsi" w:hAnsiTheme="majorHAnsi" w:cs="Arial"/>
          <w:sz w:val="24"/>
          <w:szCs w:val="24"/>
        </w:rPr>
      </w:pPr>
      <w:r w:rsidRPr="00414982">
        <w:rPr>
          <w:rFonts w:asciiTheme="majorHAnsi" w:hAnsiTheme="majorHAnsi" w:cs="Arial"/>
          <w:sz w:val="24"/>
          <w:szCs w:val="24"/>
        </w:rPr>
        <w:t>Promover reformas estructurales bajo el control local e invertir en medidas que promuevan el crecimiento económico;</w:t>
      </w:r>
    </w:p>
    <w:p w14:paraId="0753AA28" w14:textId="4BE2770D" w:rsidR="00F13465" w:rsidRPr="00414982" w:rsidRDefault="00F13465" w:rsidP="00F13465">
      <w:pPr>
        <w:pStyle w:val="ListParagraph"/>
        <w:numPr>
          <w:ilvl w:val="0"/>
          <w:numId w:val="7"/>
        </w:numPr>
        <w:spacing w:after="160" w:line="259" w:lineRule="auto"/>
        <w:jc w:val="both"/>
        <w:rPr>
          <w:rFonts w:asciiTheme="majorHAnsi" w:hAnsiTheme="majorHAnsi" w:cs="Arial"/>
          <w:sz w:val="24"/>
          <w:szCs w:val="24"/>
        </w:rPr>
      </w:pPr>
      <w:r w:rsidRPr="00414982">
        <w:rPr>
          <w:rFonts w:asciiTheme="majorHAnsi" w:hAnsiTheme="majorHAnsi" w:cs="Arial"/>
          <w:sz w:val="24"/>
          <w:szCs w:val="24"/>
        </w:rPr>
        <w:t xml:space="preserve">Cualquier programa de ajuste fiscal debe procurar proteger a las poblaciones más vulnerables del país para evitar que siga aumentando la migración y continúe </w:t>
      </w:r>
      <w:r w:rsidR="00F75C04" w:rsidRPr="00414982">
        <w:rPr>
          <w:rFonts w:asciiTheme="majorHAnsi" w:hAnsiTheme="majorHAnsi" w:cs="Arial"/>
          <w:sz w:val="24"/>
          <w:szCs w:val="24"/>
        </w:rPr>
        <w:t>decreciendo la e</w:t>
      </w:r>
      <w:r w:rsidRPr="00414982">
        <w:rPr>
          <w:rFonts w:asciiTheme="majorHAnsi" w:hAnsiTheme="majorHAnsi" w:cs="Arial"/>
          <w:sz w:val="24"/>
          <w:szCs w:val="24"/>
        </w:rPr>
        <w:t>con</w:t>
      </w:r>
      <w:r w:rsidR="00F75C04" w:rsidRPr="00414982">
        <w:rPr>
          <w:rFonts w:asciiTheme="majorHAnsi" w:hAnsiTheme="majorHAnsi" w:cs="Arial"/>
          <w:sz w:val="24"/>
          <w:szCs w:val="24"/>
        </w:rPr>
        <w:t>omía</w:t>
      </w:r>
      <w:r w:rsidR="006865DB" w:rsidRPr="00414982">
        <w:rPr>
          <w:rFonts w:asciiTheme="majorHAnsi" w:hAnsiTheme="majorHAnsi" w:cs="Arial"/>
          <w:sz w:val="24"/>
          <w:szCs w:val="24"/>
        </w:rPr>
        <w:t>;</w:t>
      </w:r>
    </w:p>
    <w:p w14:paraId="2FB36BD7" w14:textId="0DC6DFD1" w:rsidR="00F13465" w:rsidRPr="00414982" w:rsidRDefault="006865DB" w:rsidP="00F13465">
      <w:pPr>
        <w:pStyle w:val="ListParagraph"/>
        <w:numPr>
          <w:ilvl w:val="0"/>
          <w:numId w:val="7"/>
        </w:numPr>
        <w:spacing w:after="160" w:line="259" w:lineRule="auto"/>
        <w:jc w:val="both"/>
        <w:rPr>
          <w:rFonts w:asciiTheme="majorHAnsi" w:hAnsiTheme="majorHAnsi" w:cs="Arial"/>
          <w:sz w:val="24"/>
          <w:szCs w:val="24"/>
        </w:rPr>
      </w:pPr>
      <w:r w:rsidRPr="00414982">
        <w:rPr>
          <w:rFonts w:asciiTheme="majorHAnsi" w:hAnsiTheme="majorHAnsi" w:cs="Arial"/>
          <w:sz w:val="24"/>
          <w:szCs w:val="24"/>
        </w:rPr>
        <w:t>Reducir el nivel de deuda a uno</w:t>
      </w:r>
      <w:r w:rsidR="00F13465" w:rsidRPr="00414982">
        <w:rPr>
          <w:rFonts w:asciiTheme="majorHAnsi" w:hAnsiTheme="majorHAnsi" w:cs="Arial"/>
          <w:sz w:val="24"/>
          <w:szCs w:val="24"/>
        </w:rPr>
        <w:t xml:space="preserve"> sostenible, lo cual es necesario para </w:t>
      </w:r>
      <w:r w:rsidRPr="00414982">
        <w:rPr>
          <w:rFonts w:asciiTheme="majorHAnsi" w:hAnsiTheme="majorHAnsi" w:cs="Arial"/>
          <w:sz w:val="24"/>
          <w:szCs w:val="24"/>
        </w:rPr>
        <w:t>alcanzar</w:t>
      </w:r>
      <w:r w:rsidR="00F13465" w:rsidRPr="00414982">
        <w:rPr>
          <w:rFonts w:asciiTheme="majorHAnsi" w:hAnsiTheme="majorHAnsi" w:cs="Arial"/>
          <w:sz w:val="24"/>
          <w:szCs w:val="24"/>
        </w:rPr>
        <w:t xml:space="preserve"> crecimiento económico</w:t>
      </w:r>
      <w:r w:rsidRPr="00414982">
        <w:rPr>
          <w:rFonts w:asciiTheme="majorHAnsi" w:hAnsiTheme="majorHAnsi" w:cs="Arial"/>
          <w:sz w:val="24"/>
          <w:szCs w:val="24"/>
        </w:rPr>
        <w:t>;</w:t>
      </w:r>
      <w:r w:rsidR="00D17303" w:rsidRPr="00414982">
        <w:rPr>
          <w:rFonts w:asciiTheme="majorHAnsi" w:hAnsiTheme="majorHAnsi" w:cs="Arial"/>
          <w:sz w:val="24"/>
          <w:szCs w:val="24"/>
        </w:rPr>
        <w:t xml:space="preserve"> y</w:t>
      </w:r>
    </w:p>
    <w:p w14:paraId="113CF080" w14:textId="69CC936A" w:rsidR="00F13465" w:rsidRPr="00414982" w:rsidRDefault="00F13465" w:rsidP="00F13465">
      <w:pPr>
        <w:pStyle w:val="ListParagraph"/>
        <w:numPr>
          <w:ilvl w:val="0"/>
          <w:numId w:val="7"/>
        </w:numPr>
        <w:spacing w:after="160" w:line="259" w:lineRule="auto"/>
        <w:jc w:val="both"/>
        <w:rPr>
          <w:rFonts w:asciiTheme="majorHAnsi" w:hAnsiTheme="majorHAnsi" w:cs="Arial"/>
          <w:sz w:val="24"/>
          <w:szCs w:val="24"/>
        </w:rPr>
      </w:pPr>
      <w:r w:rsidRPr="00414982">
        <w:rPr>
          <w:rFonts w:asciiTheme="majorHAnsi" w:hAnsiTheme="majorHAnsi" w:cs="Arial"/>
          <w:sz w:val="24"/>
          <w:szCs w:val="24"/>
        </w:rPr>
        <w:t xml:space="preserve">Puerto Rico y el </w:t>
      </w:r>
      <w:r w:rsidR="00414982" w:rsidRPr="00414982">
        <w:rPr>
          <w:rFonts w:asciiTheme="majorHAnsi" w:hAnsiTheme="majorHAnsi" w:cs="Arial"/>
          <w:sz w:val="24"/>
          <w:szCs w:val="24"/>
        </w:rPr>
        <w:t>Gobierno</w:t>
      </w:r>
      <w:r w:rsidRPr="00414982">
        <w:rPr>
          <w:rFonts w:asciiTheme="majorHAnsi" w:hAnsiTheme="majorHAnsi" w:cs="Arial"/>
          <w:sz w:val="24"/>
          <w:szCs w:val="24"/>
        </w:rPr>
        <w:t xml:space="preserve"> Federal deben ser socios en procurar crecimiento económico.</w:t>
      </w:r>
    </w:p>
    <w:p w14:paraId="7B8DD26F" w14:textId="4734B2B9" w:rsidR="00850A2D" w:rsidRPr="00414982" w:rsidRDefault="00850A2D" w:rsidP="00E624F3">
      <w:pPr>
        <w:spacing w:after="160" w:line="259" w:lineRule="auto"/>
        <w:ind w:firstLine="360"/>
        <w:jc w:val="both"/>
        <w:rPr>
          <w:rFonts w:asciiTheme="majorHAnsi" w:hAnsiTheme="majorHAnsi" w:cs="Arial"/>
          <w:b/>
          <w:szCs w:val="24"/>
          <w:lang w:val="es-PR"/>
        </w:rPr>
      </w:pPr>
      <w:r w:rsidRPr="00414982">
        <w:rPr>
          <w:rFonts w:asciiTheme="majorHAnsi" w:hAnsiTheme="majorHAnsi" w:cs="Arial"/>
          <w:b/>
          <w:szCs w:val="24"/>
          <w:lang w:val="es-PR"/>
        </w:rPr>
        <w:t>IV. Conclusión</w:t>
      </w:r>
    </w:p>
    <w:p w14:paraId="73A61419" w14:textId="3F70D45C" w:rsidR="00414982" w:rsidRDefault="00850A2D" w:rsidP="007D0BF3">
      <w:pPr>
        <w:jc w:val="both"/>
        <w:rPr>
          <w:rFonts w:asciiTheme="majorHAnsi" w:eastAsia="Trebuchet MS" w:hAnsiTheme="majorHAnsi" w:cs="Arial"/>
          <w:szCs w:val="24"/>
          <w:lang w:val="es-ES_tradnl"/>
        </w:rPr>
      </w:pPr>
      <w:r w:rsidRPr="00414982">
        <w:rPr>
          <w:rFonts w:asciiTheme="majorHAnsi" w:eastAsia="Trebuchet MS" w:hAnsiTheme="majorHAnsi" w:cs="Arial"/>
          <w:szCs w:val="24"/>
          <w:lang w:val="es-ES_tradnl"/>
        </w:rPr>
        <w:t>A pesar del corto tiempo tra</w:t>
      </w:r>
      <w:r w:rsidR="00B503AF" w:rsidRPr="00414982">
        <w:rPr>
          <w:rFonts w:asciiTheme="majorHAnsi" w:eastAsia="Trebuchet MS" w:hAnsiTheme="majorHAnsi" w:cs="Arial"/>
          <w:szCs w:val="24"/>
          <w:lang w:val="es-ES_tradnl"/>
        </w:rPr>
        <w:t xml:space="preserve">nscurrido desde que fue creada, </w:t>
      </w:r>
      <w:r w:rsidRPr="00414982">
        <w:rPr>
          <w:rFonts w:asciiTheme="majorHAnsi" w:eastAsia="Trebuchet MS" w:hAnsiTheme="majorHAnsi" w:cs="Arial"/>
          <w:szCs w:val="24"/>
          <w:lang w:val="es-ES_tradnl"/>
        </w:rPr>
        <w:t xml:space="preserve">la AAFAF ha logrado, con la asistencia de varias otras entidades públicas y consultores externos, actualizar y presentar el proyecto más importante del país en este momento histórico; el Plan Fiscal y de Crecimiento Económico </w:t>
      </w:r>
      <w:r w:rsidR="004A2671" w:rsidRPr="00414982">
        <w:rPr>
          <w:rFonts w:asciiTheme="majorHAnsi" w:eastAsia="Trebuchet MS" w:hAnsiTheme="majorHAnsi" w:cs="Arial"/>
          <w:szCs w:val="24"/>
          <w:lang w:val="es-ES_tradnl"/>
        </w:rPr>
        <w:t>el cual</w:t>
      </w:r>
      <w:r w:rsidRPr="00414982">
        <w:rPr>
          <w:rFonts w:asciiTheme="majorHAnsi" w:eastAsia="Trebuchet MS" w:hAnsiTheme="majorHAnsi" w:cs="Arial"/>
          <w:szCs w:val="24"/>
          <w:lang w:val="es-ES_tradnl"/>
        </w:rPr>
        <w:t xml:space="preserve">, de ser aprobado por la JSF, se convertirá en el mapa de ruta a seguir a corto y mediano plazo para </w:t>
      </w:r>
      <w:r w:rsidR="004A2671" w:rsidRPr="00414982">
        <w:rPr>
          <w:rFonts w:asciiTheme="majorHAnsi" w:eastAsia="Trebuchet MS" w:hAnsiTheme="majorHAnsi" w:cs="Arial"/>
          <w:szCs w:val="24"/>
          <w:lang w:val="es-ES_tradnl"/>
        </w:rPr>
        <w:t xml:space="preserve">regresar a Puerto Rico al camino del crecimiento económico.  En ese sentido, la AAFAF, conforme a </w:t>
      </w:r>
      <w:r w:rsidR="00B503AF" w:rsidRPr="00414982">
        <w:rPr>
          <w:rFonts w:asciiTheme="majorHAnsi" w:eastAsia="Trebuchet MS" w:hAnsiTheme="majorHAnsi" w:cs="Arial"/>
          <w:szCs w:val="24"/>
          <w:lang w:val="es-ES_tradnl"/>
        </w:rPr>
        <w:t>su rol de asesor financiero y agente fiscal</w:t>
      </w:r>
      <w:r w:rsidR="004A2671" w:rsidRPr="00414982">
        <w:rPr>
          <w:rFonts w:asciiTheme="majorHAnsi" w:eastAsia="Trebuchet MS" w:hAnsiTheme="majorHAnsi" w:cs="Arial"/>
          <w:szCs w:val="24"/>
          <w:lang w:val="es-ES_tradnl"/>
        </w:rPr>
        <w:t>, es y debe continuar siendo el enlace entre la JSF y el Gobierno de Puerto Rico</w:t>
      </w:r>
      <w:r w:rsidR="00D17303" w:rsidRPr="00414982">
        <w:rPr>
          <w:rFonts w:asciiTheme="majorHAnsi" w:eastAsia="Trebuchet MS" w:hAnsiTheme="majorHAnsi" w:cs="Arial"/>
          <w:szCs w:val="24"/>
          <w:lang w:val="es-ES_tradnl"/>
        </w:rPr>
        <w:t xml:space="preserve"> en el diseño e implementación de dicho Plan.</w:t>
      </w:r>
      <w:r w:rsidR="004A2671" w:rsidRPr="00414982">
        <w:rPr>
          <w:rFonts w:asciiTheme="majorHAnsi" w:eastAsia="Trebuchet MS" w:hAnsiTheme="majorHAnsi" w:cs="Arial"/>
          <w:szCs w:val="24"/>
          <w:lang w:val="es-ES_tradnl"/>
        </w:rPr>
        <w:t xml:space="preserve"> </w:t>
      </w:r>
      <w:r w:rsidR="00D17303" w:rsidRPr="00414982">
        <w:rPr>
          <w:rFonts w:asciiTheme="majorHAnsi" w:eastAsia="Trebuchet MS" w:hAnsiTheme="majorHAnsi" w:cs="Arial"/>
          <w:szCs w:val="24"/>
          <w:lang w:val="es-ES_tradnl"/>
        </w:rPr>
        <w:t>U</w:t>
      </w:r>
      <w:r w:rsidR="004A2671" w:rsidRPr="00414982">
        <w:rPr>
          <w:rFonts w:asciiTheme="majorHAnsi" w:eastAsia="Trebuchet MS" w:hAnsiTheme="majorHAnsi" w:cs="Arial"/>
          <w:szCs w:val="24"/>
          <w:lang w:val="es-ES_tradnl"/>
        </w:rPr>
        <w:t xml:space="preserve">na vez la JSF concluya su </w:t>
      </w:r>
      <w:r w:rsidR="00B503AF" w:rsidRPr="00414982">
        <w:rPr>
          <w:rFonts w:asciiTheme="majorHAnsi" w:eastAsia="Trebuchet MS" w:hAnsiTheme="majorHAnsi" w:cs="Arial"/>
          <w:szCs w:val="24"/>
          <w:lang w:val="es-ES_tradnl"/>
        </w:rPr>
        <w:t xml:space="preserve">labor conforme a PROMESA, </w:t>
      </w:r>
      <w:r w:rsidR="00D17303" w:rsidRPr="00414982">
        <w:rPr>
          <w:rFonts w:asciiTheme="majorHAnsi" w:eastAsia="Trebuchet MS" w:hAnsiTheme="majorHAnsi" w:cs="Arial"/>
          <w:szCs w:val="24"/>
          <w:lang w:val="es-ES_tradnl"/>
        </w:rPr>
        <w:t xml:space="preserve">la AAFAF debe </w:t>
      </w:r>
      <w:r w:rsidR="00B503AF" w:rsidRPr="00414982">
        <w:rPr>
          <w:rFonts w:asciiTheme="majorHAnsi" w:eastAsia="Trebuchet MS" w:hAnsiTheme="majorHAnsi" w:cs="Arial"/>
          <w:szCs w:val="24"/>
          <w:lang w:val="es-ES_tradnl"/>
        </w:rPr>
        <w:t>mantenerse como el ente que procure por la evolución saludable de las finanzas públicas.</w:t>
      </w:r>
    </w:p>
    <w:sectPr w:rsidR="00414982" w:rsidSect="00164C12">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3CC82" w14:textId="77777777" w:rsidR="0054301C" w:rsidRDefault="0054301C">
      <w:r>
        <w:separator/>
      </w:r>
    </w:p>
  </w:endnote>
  <w:endnote w:type="continuationSeparator" w:id="0">
    <w:p w14:paraId="664BF9E7" w14:textId="77777777" w:rsidR="0054301C" w:rsidRDefault="0054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yriad Pro Cond">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C9DBD" w14:textId="2CC1FE0A" w:rsidR="006C7ACA" w:rsidRDefault="006C7ACA">
    <w:pPr>
      <w:pStyle w:val="Footer"/>
    </w:pPr>
    <w:r>
      <w:rPr>
        <w:noProof/>
        <w:lang w:val="es-PR" w:eastAsia="es-PR"/>
      </w:rPr>
      <mc:AlternateContent>
        <mc:Choice Requires="wps">
          <w:drawing>
            <wp:anchor distT="0" distB="0" distL="114300" distR="114300" simplePos="0" relativeHeight="251659776" behindDoc="0" locked="0" layoutInCell="1" allowOverlap="1" wp14:anchorId="632CA137" wp14:editId="293B8938">
              <wp:simplePos x="0" y="0"/>
              <wp:positionH relativeFrom="column">
                <wp:posOffset>-862965</wp:posOffset>
              </wp:positionH>
              <wp:positionV relativeFrom="paragraph">
                <wp:posOffset>-279400</wp:posOffset>
              </wp:positionV>
              <wp:extent cx="1714500" cy="685800"/>
              <wp:effectExtent l="635" t="0" r="0" b="0"/>
              <wp:wrapTight wrapText="bothSides">
                <wp:wrapPolygon edited="0">
                  <wp:start x="0" y="0"/>
                  <wp:lineTo x="21600" y="0"/>
                  <wp:lineTo x="21600" y="21600"/>
                  <wp:lineTo x="0" y="2160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34BF47" w14:textId="77777777" w:rsidR="006C7ACA" w:rsidRPr="00B31A04" w:rsidRDefault="006C7ACA" w:rsidP="00EC0A63">
                          <w:pPr>
                            <w:pStyle w:val="Footer"/>
                            <w:rPr>
                              <w:rFonts w:ascii="Myriad Pro Cond" w:hAnsi="Myriad Pro Cond"/>
                              <w:color w:val="FFFFFF" w:themeColor="background1"/>
                              <w:sz w:val="20"/>
                              <w:lang w:val="es-PR"/>
                              <w14:textFill>
                                <w14:noFill/>
                              </w14:textFill>
                            </w:rPr>
                          </w:pPr>
                          <w:r w:rsidRPr="00B31A04">
                            <w:rPr>
                              <w:rFonts w:ascii="Myriad Pro Cond" w:hAnsi="Myriad Pro Cond"/>
                              <w:color w:val="FFFFFF" w:themeColor="background1"/>
                              <w:sz w:val="20"/>
                              <w:lang w:val="es-PR"/>
                              <w14:textFill>
                                <w14:noFill/>
                              </w14:textFill>
                            </w:rPr>
                            <w:t>PO Box 42001</w:t>
                          </w:r>
                        </w:p>
                        <w:p w14:paraId="0D9AC24A" w14:textId="77777777" w:rsidR="006C7ACA" w:rsidRPr="00B31A04" w:rsidRDefault="006C7ACA" w:rsidP="00EC0A63">
                          <w:pPr>
                            <w:pStyle w:val="Footer"/>
                            <w:rPr>
                              <w:rFonts w:ascii="Myriad Pro Cond" w:hAnsi="Myriad Pro Cond"/>
                              <w:color w:val="FFFFFF" w:themeColor="background1"/>
                              <w:sz w:val="20"/>
                              <w:lang w:val="es-PR"/>
                              <w14:textFill>
                                <w14:noFill/>
                              </w14:textFill>
                            </w:rPr>
                          </w:pPr>
                          <w:r w:rsidRPr="00B31A04">
                            <w:rPr>
                              <w:rFonts w:ascii="Myriad Pro Cond" w:hAnsi="Myriad Pro Cond"/>
                              <w:color w:val="FFFFFF" w:themeColor="background1"/>
                              <w:sz w:val="20"/>
                              <w:lang w:val="es-PR"/>
                              <w14:textFill>
                                <w14:noFill/>
                              </w14:textFill>
                            </w:rPr>
                            <w:t>San Juan, PR 00940-2001</w:t>
                          </w:r>
                        </w:p>
                        <w:p w14:paraId="051C4CE8" w14:textId="77777777" w:rsidR="006C7ACA" w:rsidRPr="00E448F1" w:rsidRDefault="006C7ACA" w:rsidP="00EC0A63">
                          <w:pPr>
                            <w:pStyle w:val="Footer"/>
                            <w:rPr>
                              <w:rFonts w:ascii="Myriad Pro Cond" w:hAnsi="Myriad Pro Cond"/>
                              <w:color w:val="FFFFFF" w:themeColor="background1"/>
                              <w:sz w:val="20"/>
                              <w14:textFill>
                                <w14:noFill/>
                              </w14:textFill>
                            </w:rPr>
                          </w:pPr>
                          <w:proofErr w:type="spellStart"/>
                          <w:r w:rsidRPr="00E448F1">
                            <w:rPr>
                              <w:rFonts w:ascii="Myriad Pro Cond" w:hAnsi="Myriad Pro Cond"/>
                              <w:color w:val="FFFFFF" w:themeColor="background1"/>
                              <w:sz w:val="20"/>
                              <w14:textFill>
                                <w14:noFill/>
                              </w14:textFill>
                            </w:rPr>
                            <w:t>Teléfono</w:t>
                          </w:r>
                          <w:proofErr w:type="spellEnd"/>
                          <w:r w:rsidRPr="00E448F1">
                            <w:rPr>
                              <w:rFonts w:ascii="Myriad Pro Cond" w:hAnsi="Myriad Pro Cond"/>
                              <w:color w:val="FFFFFF" w:themeColor="background1"/>
                              <w:sz w:val="20"/>
                              <w14:textFill>
                                <w14:noFill/>
                              </w14:textFill>
                            </w:rPr>
                            <w:t xml:space="preserve"> (787) 722-2525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CA137" id="_x0000_t202" coordsize="21600,21600" o:spt="202" path="m,l,21600r21600,l21600,xe">
              <v:stroke joinstyle="miter"/>
              <v:path gradientshapeok="t" o:connecttype="rect"/>
            </v:shapetype>
            <v:shape id="Text Box 1" o:spid="_x0000_s1026" type="#_x0000_t202" style="position:absolute;margin-left:-67.95pt;margin-top:-22pt;width:13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" filled="f" stroked="f">
              <v:textbox inset=",7.2pt,,7.2pt">
                <w:txbxContent>
                  <w:p w14:paraId="0734BF47" w14:textId="77777777" w:rsidR="006C7ACA" w:rsidRPr="00B31A04" w:rsidRDefault="006C7ACA" w:rsidP="00EC0A63">
                    <w:pPr>
                      <w:pStyle w:val="Footer"/>
                      <w:rPr>
                        <w:rFonts w:ascii="Myriad Pro Cond" w:hAnsi="Myriad Pro Cond"/>
                        <w:color w:val="FFFFFF" w:themeColor="background1"/>
                        <w:sz w:val="20"/>
                        <w:lang w:val="es-PR"/>
                        <w14:textFill>
                          <w14:noFill/>
                        </w14:textFill>
                      </w:rPr>
                    </w:pPr>
                    <w:r w:rsidRPr="00B31A04">
                      <w:rPr>
                        <w:rFonts w:ascii="Myriad Pro Cond" w:hAnsi="Myriad Pro Cond"/>
                        <w:color w:val="FFFFFF" w:themeColor="background1"/>
                        <w:sz w:val="20"/>
                        <w:lang w:val="es-PR"/>
                        <w14:textFill>
                          <w14:noFill/>
                        </w14:textFill>
                      </w:rPr>
                      <w:t>PO Box 42001</w:t>
                    </w:r>
                  </w:p>
                  <w:p w14:paraId="0D9AC24A" w14:textId="77777777" w:rsidR="006C7ACA" w:rsidRPr="00B31A04" w:rsidRDefault="006C7ACA" w:rsidP="00EC0A63">
                    <w:pPr>
                      <w:pStyle w:val="Footer"/>
                      <w:rPr>
                        <w:rFonts w:ascii="Myriad Pro Cond" w:hAnsi="Myriad Pro Cond"/>
                        <w:color w:val="FFFFFF" w:themeColor="background1"/>
                        <w:sz w:val="20"/>
                        <w:lang w:val="es-PR"/>
                        <w14:textFill>
                          <w14:noFill/>
                        </w14:textFill>
                      </w:rPr>
                    </w:pPr>
                    <w:r w:rsidRPr="00B31A04">
                      <w:rPr>
                        <w:rFonts w:ascii="Myriad Pro Cond" w:hAnsi="Myriad Pro Cond"/>
                        <w:color w:val="FFFFFF" w:themeColor="background1"/>
                        <w:sz w:val="20"/>
                        <w:lang w:val="es-PR"/>
                        <w14:textFill>
                          <w14:noFill/>
                        </w14:textFill>
                      </w:rPr>
                      <w:t>San Juan, PR 00940-2001</w:t>
                    </w:r>
                  </w:p>
                  <w:p w14:paraId="051C4CE8" w14:textId="77777777" w:rsidR="006C7ACA" w:rsidRPr="00E448F1" w:rsidRDefault="006C7ACA" w:rsidP="00EC0A63">
                    <w:pPr>
                      <w:pStyle w:val="Footer"/>
                      <w:rPr>
                        <w:rFonts w:ascii="Myriad Pro Cond" w:hAnsi="Myriad Pro Cond"/>
                        <w:color w:val="FFFFFF" w:themeColor="background1"/>
                        <w:sz w:val="20"/>
                        <w14:textFill>
                          <w14:noFill/>
                        </w14:textFill>
                      </w:rPr>
                    </w:pPr>
                    <w:r w:rsidRPr="00E448F1">
                      <w:rPr>
                        <w:rFonts w:ascii="Myriad Pro Cond" w:hAnsi="Myriad Pro Cond"/>
                        <w:color w:val="FFFFFF" w:themeColor="background1"/>
                        <w:sz w:val="20"/>
                        <w14:textFill>
                          <w14:noFill/>
                        </w14:textFill>
                      </w:rPr>
                      <w:t>Teléfono (787) 722-2525</w:t>
                    </w:r>
                  </w:p>
                </w:txbxContent>
              </v:textbox>
              <w10:wrap type="tigh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71201" w14:textId="6C0BFD09" w:rsidR="006C7ACA" w:rsidRDefault="006C7ACA">
    <w:pPr>
      <w:pStyle w:val="Footer"/>
    </w:pPr>
    <w:r>
      <w:rPr>
        <w:noProof/>
        <w:lang w:val="es-PR" w:eastAsia="es-PR"/>
      </w:rPr>
      <w:drawing>
        <wp:anchor distT="0" distB="0" distL="114300" distR="114300" simplePos="0" relativeHeight="251665920" behindDoc="1" locked="0" layoutInCell="1" allowOverlap="1" wp14:anchorId="22F73E5A" wp14:editId="021FD4BF">
          <wp:simplePos x="0" y="0"/>
          <wp:positionH relativeFrom="column">
            <wp:posOffset>4575810</wp:posOffset>
          </wp:positionH>
          <wp:positionV relativeFrom="paragraph">
            <wp:posOffset>-511810</wp:posOffset>
          </wp:positionV>
          <wp:extent cx="1668260" cy="775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AFAF-esp.png"/>
                  <pic:cNvPicPr/>
                </pic:nvPicPr>
                <pic:blipFill rotWithShape="1">
                  <a:blip r:embed="rId1">
                    <a:extLst>
                      <a:ext uri="{28A0092B-C50C-407E-A947-70E740481C1C}">
                        <a14:useLocalDpi xmlns:a14="http://schemas.microsoft.com/office/drawing/2010/main" val="0"/>
                      </a:ext>
                    </a:extLst>
                  </a:blip>
                  <a:srcRect b="10000"/>
                  <a:stretch/>
                </pic:blipFill>
                <pic:spPr bwMode="auto">
                  <a:xfrm>
                    <a:off x="0" y="0"/>
                    <a:ext cx="1668260" cy="775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8AECB" w14:textId="77777777" w:rsidR="0054301C" w:rsidRDefault="0054301C">
      <w:r>
        <w:separator/>
      </w:r>
    </w:p>
  </w:footnote>
  <w:footnote w:type="continuationSeparator" w:id="0">
    <w:p w14:paraId="277A75AA" w14:textId="77777777" w:rsidR="0054301C" w:rsidRDefault="0054301C">
      <w:r>
        <w:continuationSeparator/>
      </w:r>
    </w:p>
  </w:footnote>
  <w:footnote w:id="1">
    <w:p w14:paraId="4149729B" w14:textId="3AEA22D9" w:rsidR="006C7ACA" w:rsidRPr="00BB38F1" w:rsidRDefault="006C7ACA" w:rsidP="00BB38F1">
      <w:pPr>
        <w:pStyle w:val="FootnoteText"/>
        <w:jc w:val="both"/>
        <w:rPr>
          <w:rFonts w:ascii="Arial" w:hAnsi="Arial" w:cs="Arial"/>
          <w:sz w:val="20"/>
          <w:szCs w:val="20"/>
          <w:lang w:val="es-ES_tradnl"/>
        </w:rPr>
      </w:pPr>
      <w:r w:rsidRPr="00BB38F1">
        <w:rPr>
          <w:rStyle w:val="FootnoteReference"/>
          <w:rFonts w:ascii="Arial" w:hAnsi="Arial" w:cs="Arial"/>
          <w:sz w:val="20"/>
          <w:szCs w:val="20"/>
          <w:lang w:val="es-ES_tradnl"/>
        </w:rPr>
        <w:footnoteRef/>
      </w:r>
      <w:r w:rsidRPr="00BB38F1">
        <w:rPr>
          <w:rFonts w:ascii="Arial" w:hAnsi="Arial" w:cs="Arial"/>
          <w:sz w:val="20"/>
          <w:szCs w:val="20"/>
          <w:lang w:val="es-ES_tradnl"/>
        </w:rPr>
        <w:t xml:space="preserve"> Es preciso señalar que, a pesar de que se mantienen estas divisiones de Departamentos</w:t>
      </w:r>
      <w:r>
        <w:rPr>
          <w:rFonts w:ascii="Arial" w:hAnsi="Arial" w:cs="Arial"/>
          <w:sz w:val="20"/>
          <w:szCs w:val="20"/>
          <w:lang w:val="es-ES_tradnl"/>
        </w:rPr>
        <w:t xml:space="preserve"> según existían en BGF</w:t>
      </w:r>
      <w:r w:rsidRPr="00BB38F1">
        <w:rPr>
          <w:rFonts w:ascii="Arial" w:hAnsi="Arial" w:cs="Arial"/>
          <w:sz w:val="20"/>
          <w:szCs w:val="20"/>
          <w:lang w:val="es-ES_tradnl"/>
        </w:rPr>
        <w:t>, el análisis de deuda se está considerando conforme a lo dispuesto en el Plan Fiscal</w:t>
      </w:r>
      <w:r>
        <w:rPr>
          <w:rFonts w:ascii="Arial" w:hAnsi="Arial" w:cs="Arial"/>
          <w:sz w:val="20"/>
          <w:szCs w:val="20"/>
          <w:lang w:val="es-ES_tradnl"/>
        </w:rPr>
        <w:t xml:space="preserve"> y </w:t>
      </w:r>
      <w:r w:rsidRPr="00BB38F1">
        <w:rPr>
          <w:rFonts w:ascii="Arial" w:hAnsi="Arial" w:cs="Arial"/>
          <w:sz w:val="20"/>
          <w:szCs w:val="20"/>
          <w:lang w:val="es-ES_tradnl"/>
        </w:rPr>
        <w:t>de Crecimiento Económico discutido someramente más adelante, esto es, tomando holísticamente toda la deuda pagadera directa o indirectamente de impuestos.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014D2" w14:textId="2DE07308" w:rsidR="006C7ACA" w:rsidRPr="00414982" w:rsidRDefault="006C7ACA" w:rsidP="004A2671">
    <w:pPr>
      <w:pStyle w:val="Header"/>
      <w:ind w:left="-1267"/>
      <w:rPr>
        <w:rFonts w:ascii="Arial" w:hAnsi="Arial" w:cs="Arial"/>
        <w:sz w:val="18"/>
        <w:szCs w:val="18"/>
        <w:lang w:val="es-PR"/>
      </w:rPr>
    </w:pPr>
    <w:r w:rsidRPr="00414982">
      <w:rPr>
        <w:rFonts w:ascii="Arial" w:hAnsi="Arial" w:cs="Arial"/>
        <w:sz w:val="18"/>
        <w:szCs w:val="18"/>
        <w:lang w:val="es-PR"/>
      </w:rPr>
      <w:t>Memorando de Transición - AAFAF</w:t>
    </w:r>
  </w:p>
  <w:p w14:paraId="2F5EFE3A" w14:textId="24D3A917" w:rsidR="006C7ACA" w:rsidRPr="00414982" w:rsidRDefault="006C7ACA" w:rsidP="004A2671">
    <w:pPr>
      <w:pStyle w:val="Header"/>
      <w:ind w:left="-1267"/>
      <w:rPr>
        <w:rFonts w:ascii="Arial" w:hAnsi="Arial" w:cs="Arial"/>
        <w:sz w:val="18"/>
        <w:szCs w:val="18"/>
        <w:lang w:val="es-PR"/>
      </w:rPr>
    </w:pPr>
    <w:r w:rsidRPr="00414982">
      <w:rPr>
        <w:rFonts w:ascii="Arial" w:hAnsi="Arial" w:cs="Arial"/>
        <w:sz w:val="18"/>
        <w:szCs w:val="18"/>
        <w:lang w:val="es-PR"/>
      </w:rPr>
      <w:t>13 de octubre de 2016</w:t>
    </w:r>
  </w:p>
  <w:p w14:paraId="1F021432" w14:textId="63618603" w:rsidR="006C7ACA" w:rsidRPr="00414982" w:rsidRDefault="006C7ACA" w:rsidP="004A2671">
    <w:pPr>
      <w:pStyle w:val="Header"/>
      <w:ind w:left="-1267"/>
      <w:rPr>
        <w:rFonts w:ascii="Arial" w:hAnsi="Arial" w:cs="Arial"/>
        <w:sz w:val="18"/>
        <w:szCs w:val="18"/>
        <w:lang w:val="es-PR"/>
      </w:rPr>
    </w:pPr>
    <w:r w:rsidRPr="00414982">
      <w:rPr>
        <w:rFonts w:ascii="Arial" w:hAnsi="Arial" w:cs="Arial"/>
        <w:sz w:val="18"/>
        <w:szCs w:val="18"/>
        <w:lang w:val="es-PR"/>
      </w:rPr>
      <w:t xml:space="preserve">Página </w:t>
    </w:r>
    <w:r w:rsidRPr="00414982">
      <w:rPr>
        <w:rStyle w:val="PageNumber"/>
        <w:rFonts w:ascii="Arial" w:hAnsi="Arial" w:cs="Arial"/>
        <w:sz w:val="18"/>
        <w:szCs w:val="18"/>
      </w:rPr>
      <w:fldChar w:fldCharType="begin"/>
    </w:r>
    <w:r w:rsidRPr="00414982">
      <w:rPr>
        <w:rStyle w:val="PageNumber"/>
        <w:rFonts w:ascii="Arial" w:hAnsi="Arial" w:cs="Arial"/>
        <w:sz w:val="18"/>
        <w:szCs w:val="18"/>
        <w:lang w:val="es-PR"/>
      </w:rPr>
      <w:instrText xml:space="preserve"> PAGE </w:instrText>
    </w:r>
    <w:r w:rsidRPr="00414982">
      <w:rPr>
        <w:rStyle w:val="PageNumber"/>
        <w:rFonts w:ascii="Arial" w:hAnsi="Arial" w:cs="Arial"/>
        <w:sz w:val="18"/>
        <w:szCs w:val="18"/>
      </w:rPr>
      <w:fldChar w:fldCharType="separate"/>
    </w:r>
    <w:r w:rsidR="00BB04FF">
      <w:rPr>
        <w:rStyle w:val="PageNumber"/>
        <w:rFonts w:ascii="Arial" w:hAnsi="Arial" w:cs="Arial"/>
        <w:noProof/>
        <w:sz w:val="18"/>
        <w:szCs w:val="18"/>
        <w:lang w:val="es-PR"/>
      </w:rPr>
      <w:t>5</w:t>
    </w:r>
    <w:r w:rsidRPr="00414982">
      <w:rPr>
        <w:rStyle w:val="PageNumber"/>
        <w:rFonts w:ascii="Arial" w:hAnsi="Arial" w:cs="Arial"/>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CBECC" w14:textId="5C8E18B2" w:rsidR="006C7ACA" w:rsidRDefault="006C7ACA">
    <w:pPr>
      <w:pStyle w:val="Header"/>
    </w:pPr>
    <w:r w:rsidRPr="00EC0A63">
      <w:rPr>
        <w:noProof/>
        <w:lang w:val="es-PR" w:eastAsia="es-PR"/>
      </w:rPr>
      <w:drawing>
        <wp:anchor distT="0" distB="0" distL="114300" distR="114300" simplePos="0" relativeHeight="251663872" behindDoc="1" locked="0" layoutInCell="1" allowOverlap="1" wp14:anchorId="5256537B" wp14:editId="54CD8853">
          <wp:simplePos x="0" y="0"/>
          <wp:positionH relativeFrom="column">
            <wp:posOffset>-849630</wp:posOffset>
          </wp:positionH>
          <wp:positionV relativeFrom="paragraph">
            <wp:posOffset>-228600</wp:posOffset>
          </wp:positionV>
          <wp:extent cx="3079742" cy="1094479"/>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F-nueva imagen ELA.png"/>
                  <pic:cNvPicPr/>
                </pic:nvPicPr>
                <pic:blipFill>
                  <a:blip r:embed="rId1">
                    <a:extLst>
                      <a:ext uri="{28A0092B-C50C-407E-A947-70E740481C1C}">
                        <a14:useLocalDpi xmlns:a14="http://schemas.microsoft.com/office/drawing/2010/main" val="0"/>
                      </a:ext>
                    </a:extLst>
                  </a:blip>
                  <a:stretch>
                    <a:fillRect/>
                  </a:stretch>
                </pic:blipFill>
                <pic:spPr>
                  <a:xfrm>
                    <a:off x="0" y="0"/>
                    <a:ext cx="3079742" cy="109447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174F"/>
    <w:multiLevelType w:val="hybridMultilevel"/>
    <w:tmpl w:val="A768D1D4"/>
    <w:lvl w:ilvl="0" w:tplc="69FC4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73B43"/>
    <w:multiLevelType w:val="hybridMultilevel"/>
    <w:tmpl w:val="5A1AE978"/>
    <w:lvl w:ilvl="0" w:tplc="7E38A49A">
      <w:numFmt w:val="bullet"/>
      <w:lvlText w:val="-"/>
      <w:lvlJc w:val="left"/>
      <w:pPr>
        <w:ind w:left="1060" w:hanging="360"/>
      </w:pPr>
      <w:rPr>
        <w:rFonts w:ascii="Book Antiqua" w:eastAsia="Arial Unicode MS" w:hAnsi="Book Antiqua" w:cs="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37B00EB1"/>
    <w:multiLevelType w:val="hybridMultilevel"/>
    <w:tmpl w:val="14C07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53DA4"/>
    <w:multiLevelType w:val="hybridMultilevel"/>
    <w:tmpl w:val="1F241384"/>
    <w:lvl w:ilvl="0" w:tplc="F32C78D4">
      <w:start w:val="1"/>
      <w:numFmt w:val="bullet"/>
      <w:lvlText w:val=""/>
      <w:lvlJc w:val="left"/>
      <w:pPr>
        <w:ind w:left="860" w:hanging="360"/>
      </w:pPr>
      <w:rPr>
        <w:rFonts w:ascii="Symbol" w:eastAsia="Symbol" w:hAnsi="Symbol" w:cs="Symbol" w:hint="default"/>
        <w:w w:val="100"/>
      </w:rPr>
    </w:lvl>
    <w:lvl w:ilvl="1" w:tplc="DF7C2D24">
      <w:start w:val="1"/>
      <w:numFmt w:val="bullet"/>
      <w:lvlText w:val="•"/>
      <w:lvlJc w:val="left"/>
      <w:pPr>
        <w:ind w:left="1738" w:hanging="360"/>
      </w:pPr>
      <w:rPr>
        <w:rFonts w:hint="default"/>
      </w:rPr>
    </w:lvl>
    <w:lvl w:ilvl="2" w:tplc="370E6592">
      <w:start w:val="1"/>
      <w:numFmt w:val="bullet"/>
      <w:lvlText w:val="•"/>
      <w:lvlJc w:val="left"/>
      <w:pPr>
        <w:ind w:left="2616" w:hanging="360"/>
      </w:pPr>
      <w:rPr>
        <w:rFonts w:hint="default"/>
      </w:rPr>
    </w:lvl>
    <w:lvl w:ilvl="3" w:tplc="13168AB8">
      <w:start w:val="1"/>
      <w:numFmt w:val="bullet"/>
      <w:lvlText w:val="•"/>
      <w:lvlJc w:val="left"/>
      <w:pPr>
        <w:ind w:left="3494" w:hanging="360"/>
      </w:pPr>
      <w:rPr>
        <w:rFonts w:hint="default"/>
      </w:rPr>
    </w:lvl>
    <w:lvl w:ilvl="4" w:tplc="1B889D0C">
      <w:start w:val="1"/>
      <w:numFmt w:val="bullet"/>
      <w:lvlText w:val="•"/>
      <w:lvlJc w:val="left"/>
      <w:pPr>
        <w:ind w:left="4372" w:hanging="360"/>
      </w:pPr>
      <w:rPr>
        <w:rFonts w:hint="default"/>
      </w:rPr>
    </w:lvl>
    <w:lvl w:ilvl="5" w:tplc="787A4562">
      <w:start w:val="1"/>
      <w:numFmt w:val="bullet"/>
      <w:lvlText w:val="•"/>
      <w:lvlJc w:val="left"/>
      <w:pPr>
        <w:ind w:left="5250" w:hanging="360"/>
      </w:pPr>
      <w:rPr>
        <w:rFonts w:hint="default"/>
      </w:rPr>
    </w:lvl>
    <w:lvl w:ilvl="6" w:tplc="319A4D22">
      <w:start w:val="1"/>
      <w:numFmt w:val="bullet"/>
      <w:lvlText w:val="•"/>
      <w:lvlJc w:val="left"/>
      <w:pPr>
        <w:ind w:left="6128" w:hanging="360"/>
      </w:pPr>
      <w:rPr>
        <w:rFonts w:hint="default"/>
      </w:rPr>
    </w:lvl>
    <w:lvl w:ilvl="7" w:tplc="76D2BAEE">
      <w:start w:val="1"/>
      <w:numFmt w:val="bullet"/>
      <w:lvlText w:val="•"/>
      <w:lvlJc w:val="left"/>
      <w:pPr>
        <w:ind w:left="7006" w:hanging="360"/>
      </w:pPr>
      <w:rPr>
        <w:rFonts w:hint="default"/>
      </w:rPr>
    </w:lvl>
    <w:lvl w:ilvl="8" w:tplc="C76E3C52">
      <w:start w:val="1"/>
      <w:numFmt w:val="bullet"/>
      <w:lvlText w:val="•"/>
      <w:lvlJc w:val="left"/>
      <w:pPr>
        <w:ind w:left="7884" w:hanging="360"/>
      </w:pPr>
      <w:rPr>
        <w:rFonts w:hint="default"/>
      </w:rPr>
    </w:lvl>
  </w:abstractNum>
  <w:abstractNum w:abstractNumId="4" w15:restartNumberingAfterBreak="0">
    <w:nsid w:val="54FA4D8F"/>
    <w:multiLevelType w:val="hybridMultilevel"/>
    <w:tmpl w:val="70AAA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B702E"/>
    <w:multiLevelType w:val="multilevel"/>
    <w:tmpl w:val="AEEC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467791"/>
    <w:multiLevelType w:val="hybridMultilevel"/>
    <w:tmpl w:val="5860F7CA"/>
    <w:lvl w:ilvl="0" w:tplc="0C0A0001">
      <w:start w:val="1"/>
      <w:numFmt w:val="bullet"/>
      <w:lvlText w:val=""/>
      <w:lvlJc w:val="left"/>
      <w:pPr>
        <w:ind w:left="860" w:hanging="360"/>
      </w:pPr>
      <w:rPr>
        <w:rFonts w:ascii="Symbol" w:hAnsi="Symbol" w:hint="default"/>
      </w:rPr>
    </w:lvl>
    <w:lvl w:ilvl="1" w:tplc="0C0A0003">
      <w:start w:val="1"/>
      <w:numFmt w:val="bullet"/>
      <w:lvlText w:val="o"/>
      <w:lvlJc w:val="left"/>
      <w:pPr>
        <w:ind w:left="1260" w:hanging="360"/>
      </w:pPr>
      <w:rPr>
        <w:rFonts w:ascii="Courier New" w:hAnsi="Courier New" w:cs="Courier New" w:hint="default"/>
      </w:rPr>
    </w:lvl>
    <w:lvl w:ilvl="2" w:tplc="0C0A0005">
      <w:start w:val="1"/>
      <w:numFmt w:val="bullet"/>
      <w:lvlText w:val=""/>
      <w:lvlJc w:val="left"/>
      <w:pPr>
        <w:ind w:left="2300" w:hanging="360"/>
      </w:pPr>
      <w:rPr>
        <w:rFonts w:ascii="Wingdings" w:hAnsi="Wingdings" w:hint="default"/>
      </w:rPr>
    </w:lvl>
    <w:lvl w:ilvl="3" w:tplc="0C0A0001" w:tentative="1">
      <w:start w:val="1"/>
      <w:numFmt w:val="bullet"/>
      <w:lvlText w:val=""/>
      <w:lvlJc w:val="left"/>
      <w:pPr>
        <w:ind w:left="3020" w:hanging="360"/>
      </w:pPr>
      <w:rPr>
        <w:rFonts w:ascii="Symbol" w:hAnsi="Symbol" w:hint="default"/>
      </w:rPr>
    </w:lvl>
    <w:lvl w:ilvl="4" w:tplc="0C0A0003" w:tentative="1">
      <w:start w:val="1"/>
      <w:numFmt w:val="bullet"/>
      <w:lvlText w:val="o"/>
      <w:lvlJc w:val="left"/>
      <w:pPr>
        <w:ind w:left="3740" w:hanging="360"/>
      </w:pPr>
      <w:rPr>
        <w:rFonts w:ascii="Courier New" w:hAnsi="Courier New" w:cs="Courier New" w:hint="default"/>
      </w:rPr>
    </w:lvl>
    <w:lvl w:ilvl="5" w:tplc="0C0A0005" w:tentative="1">
      <w:start w:val="1"/>
      <w:numFmt w:val="bullet"/>
      <w:lvlText w:val=""/>
      <w:lvlJc w:val="left"/>
      <w:pPr>
        <w:ind w:left="4460" w:hanging="360"/>
      </w:pPr>
      <w:rPr>
        <w:rFonts w:ascii="Wingdings" w:hAnsi="Wingdings" w:hint="default"/>
      </w:rPr>
    </w:lvl>
    <w:lvl w:ilvl="6" w:tplc="0C0A0001" w:tentative="1">
      <w:start w:val="1"/>
      <w:numFmt w:val="bullet"/>
      <w:lvlText w:val=""/>
      <w:lvlJc w:val="left"/>
      <w:pPr>
        <w:ind w:left="5180" w:hanging="360"/>
      </w:pPr>
      <w:rPr>
        <w:rFonts w:ascii="Symbol" w:hAnsi="Symbol" w:hint="default"/>
      </w:rPr>
    </w:lvl>
    <w:lvl w:ilvl="7" w:tplc="0C0A0003" w:tentative="1">
      <w:start w:val="1"/>
      <w:numFmt w:val="bullet"/>
      <w:lvlText w:val="o"/>
      <w:lvlJc w:val="left"/>
      <w:pPr>
        <w:ind w:left="5900" w:hanging="360"/>
      </w:pPr>
      <w:rPr>
        <w:rFonts w:ascii="Courier New" w:hAnsi="Courier New" w:cs="Courier New" w:hint="default"/>
      </w:rPr>
    </w:lvl>
    <w:lvl w:ilvl="8" w:tplc="0C0A0005" w:tentative="1">
      <w:start w:val="1"/>
      <w:numFmt w:val="bullet"/>
      <w:lvlText w:val=""/>
      <w:lvlJc w:val="left"/>
      <w:pPr>
        <w:ind w:left="66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EC"/>
    <w:rsid w:val="00090180"/>
    <w:rsid w:val="000C7F3C"/>
    <w:rsid w:val="000E6B41"/>
    <w:rsid w:val="000E7D29"/>
    <w:rsid w:val="0016095D"/>
    <w:rsid w:val="00164C12"/>
    <w:rsid w:val="001D74ED"/>
    <w:rsid w:val="001D7F31"/>
    <w:rsid w:val="001E637D"/>
    <w:rsid w:val="0035242E"/>
    <w:rsid w:val="0037687B"/>
    <w:rsid w:val="003A2459"/>
    <w:rsid w:val="00414982"/>
    <w:rsid w:val="00446617"/>
    <w:rsid w:val="00474DFA"/>
    <w:rsid w:val="00490740"/>
    <w:rsid w:val="004A2671"/>
    <w:rsid w:val="004C7554"/>
    <w:rsid w:val="0054301C"/>
    <w:rsid w:val="0056198A"/>
    <w:rsid w:val="005C722A"/>
    <w:rsid w:val="00601190"/>
    <w:rsid w:val="0060529C"/>
    <w:rsid w:val="00643903"/>
    <w:rsid w:val="00656831"/>
    <w:rsid w:val="00673F8F"/>
    <w:rsid w:val="006865DB"/>
    <w:rsid w:val="00687C6B"/>
    <w:rsid w:val="006C7ACA"/>
    <w:rsid w:val="006D0008"/>
    <w:rsid w:val="007166BF"/>
    <w:rsid w:val="00776BD3"/>
    <w:rsid w:val="007A7ADD"/>
    <w:rsid w:val="007D0BF3"/>
    <w:rsid w:val="00802DCE"/>
    <w:rsid w:val="00850A2D"/>
    <w:rsid w:val="008972D6"/>
    <w:rsid w:val="008C3705"/>
    <w:rsid w:val="008C50DE"/>
    <w:rsid w:val="008D5571"/>
    <w:rsid w:val="008E2041"/>
    <w:rsid w:val="009000BA"/>
    <w:rsid w:val="00900AFA"/>
    <w:rsid w:val="00915414"/>
    <w:rsid w:val="009444D9"/>
    <w:rsid w:val="00991D48"/>
    <w:rsid w:val="009B6B0F"/>
    <w:rsid w:val="009C7906"/>
    <w:rsid w:val="009D25F3"/>
    <w:rsid w:val="00A842DC"/>
    <w:rsid w:val="00A87DCB"/>
    <w:rsid w:val="00AA4C34"/>
    <w:rsid w:val="00B0308F"/>
    <w:rsid w:val="00B03D00"/>
    <w:rsid w:val="00B17FA8"/>
    <w:rsid w:val="00B31A04"/>
    <w:rsid w:val="00B503AF"/>
    <w:rsid w:val="00BB04FF"/>
    <w:rsid w:val="00BB38F1"/>
    <w:rsid w:val="00C534C4"/>
    <w:rsid w:val="00C909F2"/>
    <w:rsid w:val="00CF2353"/>
    <w:rsid w:val="00D17303"/>
    <w:rsid w:val="00D2177B"/>
    <w:rsid w:val="00D37644"/>
    <w:rsid w:val="00D72CBD"/>
    <w:rsid w:val="00D95842"/>
    <w:rsid w:val="00DB7DC6"/>
    <w:rsid w:val="00E2791B"/>
    <w:rsid w:val="00E448F1"/>
    <w:rsid w:val="00E624F3"/>
    <w:rsid w:val="00E97C75"/>
    <w:rsid w:val="00EB4C8F"/>
    <w:rsid w:val="00EC0A63"/>
    <w:rsid w:val="00EE02EC"/>
    <w:rsid w:val="00F13465"/>
    <w:rsid w:val="00F22484"/>
    <w:rsid w:val="00F343CD"/>
    <w:rsid w:val="00F73141"/>
    <w:rsid w:val="00F75C04"/>
    <w:rsid w:val="00F965C5"/>
    <w:rsid w:val="00FE08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790909DF"/>
  <w15:docId w15:val="{ACA70BBC-C1AE-4AEF-A399-91ED4880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CB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02EC"/>
    <w:pPr>
      <w:tabs>
        <w:tab w:val="center" w:pos="4320"/>
        <w:tab w:val="right" w:pos="8640"/>
      </w:tabs>
    </w:pPr>
  </w:style>
  <w:style w:type="paragraph" w:styleId="Footer">
    <w:name w:val="footer"/>
    <w:basedOn w:val="Normal"/>
    <w:link w:val="FooterChar"/>
    <w:uiPriority w:val="99"/>
    <w:semiHidden/>
    <w:rsid w:val="00EE02EC"/>
    <w:pPr>
      <w:tabs>
        <w:tab w:val="center" w:pos="4320"/>
        <w:tab w:val="right" w:pos="8640"/>
      </w:tabs>
    </w:pPr>
  </w:style>
  <w:style w:type="character" w:styleId="Hyperlink">
    <w:name w:val="Hyperlink"/>
    <w:basedOn w:val="DefaultParagraphFont"/>
    <w:uiPriority w:val="99"/>
    <w:unhideWhenUsed/>
    <w:rsid w:val="00EC0A63"/>
    <w:rPr>
      <w:color w:val="0000FF"/>
      <w:u w:val="single"/>
    </w:rPr>
  </w:style>
  <w:style w:type="character" w:customStyle="1" w:styleId="FooterChar">
    <w:name w:val="Footer Char"/>
    <w:basedOn w:val="DefaultParagraphFont"/>
    <w:link w:val="Footer"/>
    <w:uiPriority w:val="99"/>
    <w:semiHidden/>
    <w:rsid w:val="00EC0A63"/>
    <w:rPr>
      <w:sz w:val="24"/>
    </w:rPr>
  </w:style>
  <w:style w:type="paragraph" w:styleId="ListParagraph">
    <w:name w:val="List Paragraph"/>
    <w:basedOn w:val="Normal"/>
    <w:uiPriority w:val="34"/>
    <w:qFormat/>
    <w:rsid w:val="00164C12"/>
    <w:pPr>
      <w:spacing w:after="200" w:line="276" w:lineRule="auto"/>
      <w:ind w:left="720"/>
      <w:contextualSpacing/>
    </w:pPr>
    <w:rPr>
      <w:rFonts w:asciiTheme="minorHAnsi" w:eastAsiaTheme="minorHAnsi" w:hAnsiTheme="minorHAnsi" w:cstheme="minorBidi"/>
      <w:sz w:val="22"/>
      <w:szCs w:val="22"/>
      <w:lang w:val="es-PR"/>
    </w:rPr>
  </w:style>
  <w:style w:type="paragraph" w:customStyle="1" w:styleId="Body1">
    <w:name w:val="Body 1"/>
    <w:rsid w:val="00164C12"/>
    <w:pPr>
      <w:spacing w:after="200" w:line="276" w:lineRule="auto"/>
      <w:outlineLvl w:val="0"/>
    </w:pPr>
    <w:rPr>
      <w:rFonts w:ascii="Helvetica" w:eastAsia="Arial Unicode MS" w:hAnsi="Helvetica"/>
      <w:color w:val="000000"/>
      <w:sz w:val="22"/>
      <w:u w:color="000000"/>
      <w:lang w:val="es-PR" w:eastAsia="es-PR"/>
    </w:rPr>
  </w:style>
  <w:style w:type="paragraph" w:customStyle="1" w:styleId="Body">
    <w:name w:val="Body"/>
    <w:rsid w:val="00164C12"/>
    <w:pPr>
      <w:pBdr>
        <w:top w:val="nil"/>
        <w:left w:val="nil"/>
        <w:bottom w:val="nil"/>
        <w:right w:val="nil"/>
        <w:between w:val="nil"/>
        <w:bar w:val="nil"/>
      </w:pBdr>
      <w:jc w:val="both"/>
    </w:pPr>
    <w:rPr>
      <w:color w:val="000000"/>
      <w:sz w:val="24"/>
      <w:szCs w:val="24"/>
      <w:u w:color="000000"/>
      <w:bdr w:val="nil"/>
      <w:lang w:val="es-PR" w:eastAsia="es-PR"/>
    </w:rPr>
  </w:style>
  <w:style w:type="character" w:styleId="PageNumber">
    <w:name w:val="page number"/>
    <w:basedOn w:val="DefaultParagraphFont"/>
    <w:uiPriority w:val="99"/>
    <w:semiHidden/>
    <w:unhideWhenUsed/>
    <w:rsid w:val="00164C12"/>
  </w:style>
  <w:style w:type="paragraph" w:styleId="BodyText">
    <w:name w:val="Body Text"/>
    <w:basedOn w:val="Normal"/>
    <w:link w:val="BodyTextChar"/>
    <w:uiPriority w:val="1"/>
    <w:qFormat/>
    <w:rsid w:val="008E2041"/>
    <w:pPr>
      <w:widowControl w:val="0"/>
    </w:pPr>
    <w:rPr>
      <w:rFonts w:ascii="Trebuchet MS" w:eastAsia="Trebuchet MS" w:hAnsi="Trebuchet MS" w:cs="Trebuchet MS"/>
      <w:szCs w:val="24"/>
    </w:rPr>
  </w:style>
  <w:style w:type="character" w:customStyle="1" w:styleId="BodyTextChar">
    <w:name w:val="Body Text Char"/>
    <w:basedOn w:val="DefaultParagraphFont"/>
    <w:link w:val="BodyText"/>
    <w:uiPriority w:val="1"/>
    <w:rsid w:val="008E2041"/>
    <w:rPr>
      <w:rFonts w:ascii="Trebuchet MS" w:eastAsia="Trebuchet MS" w:hAnsi="Trebuchet MS" w:cs="Trebuchet MS"/>
      <w:sz w:val="24"/>
      <w:szCs w:val="24"/>
    </w:rPr>
  </w:style>
  <w:style w:type="paragraph" w:styleId="NoSpacing">
    <w:name w:val="No Spacing"/>
    <w:uiPriority w:val="1"/>
    <w:qFormat/>
    <w:rsid w:val="00490740"/>
    <w:pPr>
      <w:widowControl w:val="0"/>
    </w:pPr>
    <w:rPr>
      <w:rFonts w:ascii="Trebuchet MS" w:eastAsia="Trebuchet MS" w:hAnsi="Trebuchet MS" w:cs="Trebuchet MS"/>
      <w:sz w:val="22"/>
      <w:szCs w:val="22"/>
    </w:rPr>
  </w:style>
  <w:style w:type="paragraph" w:styleId="FootnoteText">
    <w:name w:val="footnote text"/>
    <w:basedOn w:val="Normal"/>
    <w:link w:val="FootnoteTextChar"/>
    <w:uiPriority w:val="99"/>
    <w:unhideWhenUsed/>
    <w:rsid w:val="00A87DCB"/>
    <w:rPr>
      <w:szCs w:val="24"/>
    </w:rPr>
  </w:style>
  <w:style w:type="character" w:customStyle="1" w:styleId="FootnoteTextChar">
    <w:name w:val="Footnote Text Char"/>
    <w:basedOn w:val="DefaultParagraphFont"/>
    <w:link w:val="FootnoteText"/>
    <w:uiPriority w:val="99"/>
    <w:rsid w:val="00A87DCB"/>
    <w:rPr>
      <w:sz w:val="24"/>
      <w:szCs w:val="24"/>
    </w:rPr>
  </w:style>
  <w:style w:type="character" w:styleId="FootnoteReference">
    <w:name w:val="footnote reference"/>
    <w:basedOn w:val="DefaultParagraphFont"/>
    <w:uiPriority w:val="99"/>
    <w:unhideWhenUsed/>
    <w:rsid w:val="00A87DCB"/>
    <w:rPr>
      <w:vertAlign w:val="superscript"/>
    </w:rPr>
  </w:style>
  <w:style w:type="paragraph" w:styleId="NormalWeb">
    <w:name w:val="Normal (Web)"/>
    <w:basedOn w:val="Normal"/>
    <w:uiPriority w:val="99"/>
    <w:semiHidden/>
    <w:unhideWhenUsed/>
    <w:rsid w:val="00643903"/>
    <w:pPr>
      <w:spacing w:before="100" w:beforeAutospacing="1" w:after="100" w:afterAutospacing="1"/>
    </w:pPr>
    <w:rPr>
      <w:rFonts w:ascii="Times" w:hAnsi="Times"/>
      <w:sz w:val="20"/>
    </w:rPr>
  </w:style>
  <w:style w:type="paragraph" w:styleId="BalloonText">
    <w:name w:val="Balloon Text"/>
    <w:basedOn w:val="Normal"/>
    <w:link w:val="BalloonTextChar"/>
    <w:uiPriority w:val="99"/>
    <w:semiHidden/>
    <w:unhideWhenUsed/>
    <w:rsid w:val="00E62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09354">
      <w:bodyDiv w:val="1"/>
      <w:marLeft w:val="0"/>
      <w:marRight w:val="0"/>
      <w:marTop w:val="0"/>
      <w:marBottom w:val="0"/>
      <w:divBdr>
        <w:top w:val="none" w:sz="0" w:space="0" w:color="auto"/>
        <w:left w:val="none" w:sz="0" w:space="0" w:color="auto"/>
        <w:bottom w:val="none" w:sz="0" w:space="0" w:color="auto"/>
        <w:right w:val="none" w:sz="0" w:space="0" w:color="auto"/>
      </w:divBdr>
      <w:divsChild>
        <w:div w:id="85735926">
          <w:marLeft w:val="0"/>
          <w:marRight w:val="0"/>
          <w:marTop w:val="0"/>
          <w:marBottom w:val="0"/>
          <w:divBdr>
            <w:top w:val="none" w:sz="0" w:space="0" w:color="auto"/>
            <w:left w:val="none" w:sz="0" w:space="0" w:color="auto"/>
            <w:bottom w:val="none" w:sz="0" w:space="0" w:color="auto"/>
            <w:right w:val="none" w:sz="0" w:space="0" w:color="auto"/>
          </w:divBdr>
          <w:divsChild>
            <w:div w:id="2125615550">
              <w:marLeft w:val="0"/>
              <w:marRight w:val="0"/>
              <w:marTop w:val="0"/>
              <w:marBottom w:val="0"/>
              <w:divBdr>
                <w:top w:val="none" w:sz="0" w:space="0" w:color="auto"/>
                <w:left w:val="none" w:sz="0" w:space="0" w:color="auto"/>
                <w:bottom w:val="none" w:sz="0" w:space="0" w:color="auto"/>
                <w:right w:val="none" w:sz="0" w:space="0" w:color="auto"/>
              </w:divBdr>
              <w:divsChild>
                <w:div w:id="9690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68952">
      <w:bodyDiv w:val="1"/>
      <w:marLeft w:val="0"/>
      <w:marRight w:val="0"/>
      <w:marTop w:val="0"/>
      <w:marBottom w:val="0"/>
      <w:divBdr>
        <w:top w:val="none" w:sz="0" w:space="0" w:color="auto"/>
        <w:left w:val="none" w:sz="0" w:space="0" w:color="auto"/>
        <w:bottom w:val="none" w:sz="0" w:space="0" w:color="auto"/>
        <w:right w:val="none" w:sz="0" w:space="0" w:color="auto"/>
      </w:divBdr>
      <w:divsChild>
        <w:div w:id="1346248217">
          <w:marLeft w:val="0"/>
          <w:marRight w:val="0"/>
          <w:marTop w:val="0"/>
          <w:marBottom w:val="0"/>
          <w:divBdr>
            <w:top w:val="none" w:sz="0" w:space="0" w:color="auto"/>
            <w:left w:val="none" w:sz="0" w:space="0" w:color="auto"/>
            <w:bottom w:val="none" w:sz="0" w:space="0" w:color="auto"/>
            <w:right w:val="none" w:sz="0" w:space="0" w:color="auto"/>
          </w:divBdr>
          <w:divsChild>
            <w:div w:id="605112801">
              <w:marLeft w:val="0"/>
              <w:marRight w:val="0"/>
              <w:marTop w:val="0"/>
              <w:marBottom w:val="0"/>
              <w:divBdr>
                <w:top w:val="none" w:sz="0" w:space="0" w:color="auto"/>
                <w:left w:val="none" w:sz="0" w:space="0" w:color="auto"/>
                <w:bottom w:val="none" w:sz="0" w:space="0" w:color="auto"/>
                <w:right w:val="none" w:sz="0" w:space="0" w:color="auto"/>
              </w:divBdr>
              <w:divsChild>
                <w:div w:id="498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74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icion2016.pr.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icion2016@estado.pr.gov"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7C2BBFFB10564C958BA459FB574EBA" ma:contentTypeVersion="0" ma:contentTypeDescription="Create a new document." ma:contentTypeScope="" ma:versionID="293f83c240930f6c45ee12f2c18386c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33105-5E7A-4FFB-974B-44380740BEC2}"/>
</file>

<file path=customXml/itemProps2.xml><?xml version="1.0" encoding="utf-8"?>
<ds:datastoreItem xmlns:ds="http://schemas.openxmlformats.org/officeDocument/2006/customXml" ds:itemID="{098EB522-C839-4DCD-869C-6888B68D7CD6}"/>
</file>

<file path=customXml/itemProps3.xml><?xml version="1.0" encoding="utf-8"?>
<ds:datastoreItem xmlns:ds="http://schemas.openxmlformats.org/officeDocument/2006/customXml" ds:itemID="{1F55E552-E0CA-4442-A9F9-3AF7E9080F16}"/>
</file>

<file path=docProps/app.xml><?xml version="1.0" encoding="utf-8"?>
<Properties xmlns="http://schemas.openxmlformats.org/officeDocument/2006/extended-properties" xmlns:vt="http://schemas.openxmlformats.org/officeDocument/2006/docPropsVTypes">
  <Template>Normal.dotm</Template>
  <TotalTime>1</TotalTime>
  <Pages>5</Pages>
  <Words>2077</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BGF</Company>
  <LinksUpToDate>false</LinksUpToDate>
  <CharactersWithSpaces>13478</CharactersWithSpaces>
  <SharedDoc>false</SharedDoc>
  <HLinks>
    <vt:vector size="6" baseType="variant">
      <vt:variant>
        <vt:i4>262247</vt:i4>
      </vt:variant>
      <vt:variant>
        <vt:i4>-1</vt:i4>
      </vt:variant>
      <vt:variant>
        <vt:i4>2049</vt:i4>
      </vt:variant>
      <vt:variant>
        <vt:i4>1</vt:i4>
      </vt:variant>
      <vt:variant>
        <vt:lpwstr>BGF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Caraballo</dc:creator>
  <cp:keywords/>
  <cp:lastModifiedBy>Suarez, Alejandra (AAFAF)</cp:lastModifiedBy>
  <cp:revision>2</cp:revision>
  <cp:lastPrinted>2016-10-14T18:30:00Z</cp:lastPrinted>
  <dcterms:created xsi:type="dcterms:W3CDTF">2016-10-17T20:17:00Z</dcterms:created>
  <dcterms:modified xsi:type="dcterms:W3CDTF">2016-10-17T20:17:00Z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0x010100B67C2BBFFB10564C958BA459FB574EBA</vt:lpwstr>
  </property>
</Properties>
</file>